
<file path=[Content_Types].xml><?xml version="1.0" encoding="utf-8"?>
<Types xmlns="http://schemas.openxmlformats.org/package/2006/content-types">
  <Default Extension="xml" ContentType="application/xml"/>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楷体" w:hAnsi="楷体" w:eastAsia="楷体" w:cs="楷体"/>
          <w:sz w:val="30"/>
          <w:szCs w:val="30"/>
        </w:rPr>
      </w:pPr>
    </w:p>
    <w:p>
      <w:pPr>
        <w:spacing w:line="600" w:lineRule="exact"/>
        <w:jc w:val="center"/>
        <w:rPr>
          <w:rFonts w:ascii="宋体" w:hAnsi="宋体" w:cs="宋体"/>
          <w:b/>
          <w:bCs/>
          <w:sz w:val="44"/>
          <w:szCs w:val="36"/>
        </w:rPr>
      </w:pPr>
      <w:r>
        <w:rPr>
          <w:rFonts w:hint="eastAsia" w:ascii="宋体" w:hAnsi="宋体" w:cs="宋体"/>
          <w:b/>
          <w:bCs/>
          <w:sz w:val="44"/>
          <w:szCs w:val="36"/>
        </w:rPr>
        <w:t>上饶市测绘地理信息中心2020年度部门决算</w:t>
      </w:r>
    </w:p>
    <w:p>
      <w:pPr>
        <w:spacing w:line="600" w:lineRule="exact"/>
        <w:jc w:val="center"/>
        <w:rPr>
          <w:rFonts w:ascii="黑体" w:eastAsia="黑体"/>
          <w:sz w:val="44"/>
          <w:szCs w:val="36"/>
        </w:rPr>
      </w:pPr>
    </w:p>
    <w:p>
      <w:pPr>
        <w:spacing w:line="600" w:lineRule="exact"/>
        <w:jc w:val="center"/>
        <w:rPr>
          <w:rFonts w:ascii="宋体" w:hAnsi="宋体" w:cs="宋体"/>
          <w:b/>
          <w:bCs/>
          <w:sz w:val="40"/>
          <w:szCs w:val="36"/>
        </w:rPr>
      </w:pPr>
      <w:r>
        <w:rPr>
          <w:rFonts w:hint="eastAsia" w:ascii="宋体" w:hAnsi="宋体" w:cs="宋体"/>
          <w:b/>
          <w:bCs/>
          <w:sz w:val="40"/>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jc w:val="left"/>
        <w:rPr>
          <w:rFonts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上饶市测绘地理信息中心</w:t>
      </w:r>
      <w:r>
        <w:rPr>
          <w:rFonts w:hint="eastAsia" w:ascii="黑体" w:hAnsi="黑体" w:eastAsia="黑体"/>
          <w:b/>
          <w:sz w:val="32"/>
          <w:szCs w:val="32"/>
        </w:rPr>
        <w:t>概况</w:t>
      </w:r>
    </w:p>
    <w:p>
      <w:pPr>
        <w:widowControl/>
        <w:spacing w:line="600" w:lineRule="exact"/>
        <w:ind w:firstLine="640"/>
        <w:jc w:val="left"/>
        <w:rPr>
          <w:rFonts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numPr>
          <w:ilvl w:val="0"/>
          <w:numId w:val="1"/>
        </w:numPr>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政府性基金预算财政拨款收入支出决算表</w:t>
      </w:r>
    </w:p>
    <w:p>
      <w:pPr>
        <w:widowControl/>
        <w:numPr>
          <w:ilvl w:val="0"/>
          <w:numId w:val="1"/>
        </w:numPr>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国有资本经营预算财政拨款支出决算表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十、国有资产占用情况表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widowControl/>
        <w:spacing w:line="580" w:lineRule="exact"/>
        <w:jc w:val="center"/>
        <w:rPr>
          <w:rFonts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上饶市测绘地理信息中心部门</w:t>
      </w:r>
      <w:r>
        <w:rPr>
          <w:rFonts w:hint="eastAsia" w:ascii="宋体" w:hAnsi="宋体"/>
          <w:b/>
          <w:sz w:val="32"/>
          <w:szCs w:val="30"/>
        </w:rPr>
        <w:t>概况</w:t>
      </w:r>
    </w:p>
    <w:p>
      <w:pPr>
        <w:ind w:firstLine="630"/>
        <w:jc w:val="center"/>
        <w:rPr>
          <w:sz w:val="32"/>
          <w:szCs w:val="32"/>
        </w:rPr>
      </w:pPr>
    </w:p>
    <w:p>
      <w:pPr>
        <w:ind w:firstLine="630"/>
        <w:jc w:val="left"/>
        <w:rPr>
          <w:rFonts w:ascii="黑体" w:hAnsi="黑体" w:eastAsia="黑体"/>
          <w:sz w:val="30"/>
          <w:szCs w:val="30"/>
        </w:rPr>
      </w:pPr>
      <w:r>
        <w:rPr>
          <w:rFonts w:hint="eastAsia" w:ascii="黑体" w:hAnsi="黑体" w:eastAsia="黑体"/>
          <w:sz w:val="30"/>
          <w:szCs w:val="30"/>
        </w:rPr>
        <w:t>一、部门主要职能</w:t>
      </w:r>
    </w:p>
    <w:p>
      <w:pPr>
        <w:ind w:firstLine="630"/>
        <w:jc w:val="left"/>
        <w:rPr>
          <w:rFonts w:ascii="仿宋" w:hAnsi="仿宋" w:eastAsia="仿宋"/>
          <w:sz w:val="30"/>
          <w:szCs w:val="30"/>
        </w:rPr>
      </w:pPr>
      <w:r>
        <w:rPr>
          <w:rFonts w:hint="eastAsia" w:ascii="仿宋" w:hAnsi="仿宋" w:eastAsia="仿宋"/>
          <w:sz w:val="30"/>
          <w:szCs w:val="30"/>
        </w:rPr>
        <w:t>（一）</w:t>
      </w:r>
      <w:r>
        <w:rPr>
          <w:rFonts w:hint="eastAsia" w:ascii="仿宋_GB2312" w:eastAsia="仿宋_GB2312"/>
          <w:sz w:val="32"/>
          <w:szCs w:val="30"/>
        </w:rPr>
        <w:t>上饶市测绘地理信息中心为保护与合理利用土地提供勘测规划服务。</w:t>
      </w:r>
    </w:p>
    <w:p>
      <w:pPr>
        <w:ind w:firstLine="630"/>
        <w:jc w:val="left"/>
        <w:rPr>
          <w:rFonts w:ascii="仿宋" w:hAnsi="仿宋" w:eastAsia="仿宋"/>
          <w:sz w:val="30"/>
          <w:szCs w:val="30"/>
        </w:rPr>
      </w:pPr>
      <w:r>
        <w:rPr>
          <w:rFonts w:hint="eastAsia" w:ascii="仿宋" w:hAnsi="仿宋" w:eastAsia="仿宋"/>
          <w:sz w:val="30"/>
          <w:szCs w:val="30"/>
        </w:rPr>
        <w:t>（二）</w:t>
      </w:r>
      <w:r>
        <w:rPr>
          <w:rFonts w:hint="eastAsia" w:ascii="仿宋_GB2312" w:eastAsia="仿宋_GB2312"/>
          <w:sz w:val="32"/>
          <w:szCs w:val="30"/>
        </w:rPr>
        <w:t>从事土地勘测、规划；土地资源调查评价、监察与保护；土地勘测规划理论与技术规程研究。</w:t>
      </w:r>
    </w:p>
    <w:p>
      <w:pPr>
        <w:ind w:firstLine="600" w:firstLineChars="200"/>
        <w:jc w:val="left"/>
        <w:rPr>
          <w:rFonts w:ascii="黑体" w:hAnsi="黑体" w:eastAsia="黑体"/>
          <w:sz w:val="30"/>
          <w:szCs w:val="30"/>
        </w:rPr>
      </w:pPr>
      <w:r>
        <w:rPr>
          <w:rFonts w:hint="eastAsia" w:ascii="黑体" w:hAnsi="黑体" w:eastAsia="黑体"/>
          <w:sz w:val="30"/>
          <w:szCs w:val="30"/>
        </w:rPr>
        <w:t>二、部门基本情况</w:t>
      </w:r>
    </w:p>
    <w:p>
      <w:pPr>
        <w:ind w:firstLine="630"/>
        <w:jc w:val="left"/>
        <w:rPr>
          <w:rFonts w:ascii="仿宋" w:hAnsi="仿宋" w:eastAsia="仿宋"/>
          <w:sz w:val="30"/>
          <w:szCs w:val="30"/>
        </w:rPr>
      </w:pPr>
      <w:r>
        <w:rPr>
          <w:rFonts w:hint="eastAsia" w:ascii="仿宋" w:hAnsi="仿宋" w:eastAsia="仿宋"/>
          <w:sz w:val="30"/>
          <w:szCs w:val="30"/>
        </w:rPr>
        <w:t>纳入本套部门决算汇编范围的单位共  1 个，包括：上饶市测绘地理信息中心。</w:t>
      </w:r>
    </w:p>
    <w:p>
      <w:pPr>
        <w:ind w:firstLine="630"/>
        <w:jc w:val="left"/>
        <w:rPr>
          <w:rFonts w:ascii="仿宋" w:hAnsi="仿宋" w:eastAsia="仿宋"/>
          <w:sz w:val="30"/>
          <w:szCs w:val="30"/>
        </w:rPr>
      </w:pPr>
      <w:r>
        <w:rPr>
          <w:rFonts w:hint="eastAsia" w:ascii="仿宋" w:hAnsi="仿宋" w:eastAsia="仿宋"/>
          <w:sz w:val="30"/>
          <w:szCs w:val="30"/>
        </w:rPr>
        <w:t xml:space="preserve">本部门2020年年末实有人数  </w:t>
      </w:r>
      <w:r>
        <w:rPr>
          <w:rFonts w:ascii="仿宋" w:hAnsi="仿宋" w:eastAsia="仿宋"/>
          <w:sz w:val="30"/>
          <w:szCs w:val="30"/>
        </w:rPr>
        <w:t>23</w:t>
      </w:r>
      <w:r>
        <w:rPr>
          <w:rFonts w:hint="eastAsia" w:ascii="仿宋" w:hAnsi="仿宋" w:eastAsia="仿宋"/>
          <w:sz w:val="30"/>
          <w:szCs w:val="30"/>
        </w:rPr>
        <w:t>人，其中在职人员 20 人</w:t>
      </w:r>
      <w:r>
        <w:rPr>
          <w:rFonts w:hint="eastAsia" w:ascii="仿宋" w:hAnsi="仿宋" w:eastAsia="仿宋"/>
          <w:sz w:val="30"/>
          <w:szCs w:val="30"/>
          <w:lang w:eastAsia="zh-CN"/>
        </w:rPr>
        <w:t>（</w:t>
      </w:r>
      <w:r>
        <w:rPr>
          <w:rFonts w:hint="eastAsia" w:ascii="仿宋" w:hAnsi="仿宋" w:eastAsia="仿宋"/>
          <w:sz w:val="30"/>
          <w:szCs w:val="30"/>
          <w:lang w:val="en-US" w:eastAsia="zh-CN"/>
        </w:rPr>
        <w:t>全额拨款人员10人，差额拨款人员10人</w:t>
      </w:r>
      <w:r>
        <w:rPr>
          <w:rFonts w:hint="eastAsia" w:ascii="仿宋" w:hAnsi="仿宋" w:eastAsia="仿宋"/>
          <w:sz w:val="30"/>
          <w:szCs w:val="30"/>
          <w:lang w:eastAsia="zh-CN"/>
        </w:rPr>
        <w:t>）</w:t>
      </w:r>
      <w:r>
        <w:rPr>
          <w:rFonts w:hint="eastAsia" w:ascii="仿宋" w:hAnsi="仿宋" w:eastAsia="仿宋"/>
          <w:sz w:val="30"/>
          <w:szCs w:val="30"/>
        </w:rPr>
        <w:t>，离休人员 0 人，退休人员 3  人；年末其他</w:t>
      </w:r>
      <w:r>
        <w:rPr>
          <w:rFonts w:hint="eastAsia" w:ascii="仿宋" w:hAnsi="仿宋" w:eastAsia="仿宋"/>
          <w:sz w:val="30"/>
          <w:szCs w:val="30"/>
          <w:lang w:val="en-US" w:eastAsia="zh-CN"/>
        </w:rPr>
        <w:t>派遣</w:t>
      </w:r>
      <w:r>
        <w:rPr>
          <w:rFonts w:hint="eastAsia" w:ascii="仿宋" w:hAnsi="仿宋" w:eastAsia="仿宋"/>
          <w:sz w:val="30"/>
          <w:szCs w:val="30"/>
        </w:rPr>
        <w:t>人员 19  人；年末学生人数  0 人。</w:t>
      </w:r>
    </w:p>
    <w:p>
      <w:pPr>
        <w:ind w:firstLine="630"/>
        <w:jc w:val="left"/>
        <w:rPr>
          <w:rFonts w:ascii="仿宋" w:hAnsi="仿宋" w:eastAsia="仿宋"/>
          <w:sz w:val="30"/>
          <w:szCs w:val="30"/>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第二部分  2020年度部门决算表</w:t>
      </w:r>
    </w:p>
    <w:p>
      <w:pPr>
        <w:widowControl/>
        <w:spacing w:line="600" w:lineRule="exact"/>
        <w:ind w:firstLine="640"/>
        <w:jc w:val="center"/>
        <w:rPr>
          <w:rFonts w:ascii="宋体" w:hAnsi="宋体"/>
          <w:b/>
          <w:sz w:val="32"/>
          <w:szCs w:val="32"/>
        </w:rPr>
      </w:pPr>
    </w:p>
    <w:p>
      <w:pPr>
        <w:autoSpaceDE w:val="0"/>
        <w:autoSpaceDN w:val="0"/>
        <w:adjustRightInd w:val="0"/>
        <w:spacing w:line="360" w:lineRule="auto"/>
        <w:jc w:val="left"/>
        <w:rPr>
          <w:szCs w:val="30"/>
        </w:rPr>
      </w:pPr>
      <w:r>
        <w:drawing>
          <wp:inline distT="0" distB="0" distL="114300" distR="114300">
            <wp:extent cx="5846445" cy="4964430"/>
            <wp:effectExtent l="0" t="0" r="1905" b="7620"/>
            <wp:docPr id="8" name="图片 25" descr="C:\Users\丁璇敏\Desktop\收入支出决算总表.png收入支出决算总表"/>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25" descr="C:\Users\丁璇敏\Desktop\收入支出决算总表.png收入支出决算总表"/>
                    <pic:cNvPicPr>
                      <a:picLocks noChangeAspect="true"/>
                    </pic:cNvPicPr>
                  </pic:nvPicPr>
                  <pic:blipFill>
                    <a:blip r:embed="rId5"/>
                    <a:srcRect/>
                    <a:stretch>
                      <a:fillRect/>
                    </a:stretch>
                  </pic:blipFill>
                  <pic:spPr>
                    <a:xfrm>
                      <a:off x="0" y="0"/>
                      <a:ext cx="5846445" cy="4964430"/>
                    </a:xfrm>
                    <a:prstGeom prst="rect">
                      <a:avLst/>
                    </a:prstGeom>
                    <a:noFill/>
                    <a:ln>
                      <a:noFill/>
                    </a:ln>
                  </pic:spPr>
                </pic:pic>
              </a:graphicData>
            </a:graphic>
          </wp:inline>
        </w:drawing>
      </w:r>
    </w:p>
    <w:p>
      <w:pPr>
        <w:autoSpaceDE w:val="0"/>
        <w:autoSpaceDN w:val="0"/>
        <w:adjustRightInd w:val="0"/>
        <w:spacing w:line="360" w:lineRule="auto"/>
        <w:jc w:val="left"/>
        <w:rPr>
          <w:szCs w:val="30"/>
        </w:rPr>
      </w:pPr>
    </w:p>
    <w:p>
      <w:pPr>
        <w:autoSpaceDE w:val="0"/>
        <w:autoSpaceDN w:val="0"/>
        <w:adjustRightInd w:val="0"/>
        <w:spacing w:line="360" w:lineRule="auto"/>
        <w:jc w:val="left"/>
        <w:rPr>
          <w:rFonts w:ascii="仿宋" w:hAnsi="仿宋" w:eastAsia="仿宋" w:cs="仿宋_GB2312"/>
          <w:kern w:val="0"/>
          <w:sz w:val="30"/>
          <w:szCs w:val="30"/>
        </w:rPr>
      </w:pP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w: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568315" cy="1711960"/>
            <wp:effectExtent l="0" t="0" r="13335" b="2540"/>
            <wp:docPr id="9" name="图片 26" descr="C:\Users\丁璇敏\Desktop\收入总表.png收入总表"/>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26" descr="C:\Users\丁璇敏\Desktop\收入总表.png收入总表"/>
                    <pic:cNvPicPr>
                      <a:picLocks noChangeAspect="true"/>
                    </pic:cNvPicPr>
                  </pic:nvPicPr>
                  <pic:blipFill>
                    <a:blip r:embed="rId6"/>
                    <a:srcRect/>
                    <a:stretch>
                      <a:fillRect/>
                    </a:stretch>
                  </pic:blipFill>
                  <pic:spPr>
                    <a:xfrm>
                      <a:off x="0" y="0"/>
                      <a:ext cx="5568315" cy="171196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631180" cy="1873885"/>
            <wp:effectExtent l="0" t="0" r="7620" b="12065"/>
            <wp:docPr id="2" name="图片 12" descr="C:\Users\丁璇敏\Desktop\支出总表.png支出总表"/>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2" descr="C:\Users\丁璇敏\Desktop\支出总表.png支出总表"/>
                    <pic:cNvPicPr>
                      <a:picLocks noChangeAspect="true"/>
                    </pic:cNvPicPr>
                  </pic:nvPicPr>
                  <pic:blipFill>
                    <a:blip r:embed="rId7"/>
                    <a:srcRect/>
                    <a:stretch>
                      <a:fillRect/>
                    </a:stretch>
                  </pic:blipFill>
                  <pic:spPr>
                    <a:xfrm>
                      <a:off x="0" y="0"/>
                      <a:ext cx="5631180" cy="18738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rPr>
          <w:rFonts w:ascii="Arial" w:hAnsi="Arial" w:cs="Arial"/>
          <w:color w:val="000000"/>
          <w:kern w:val="0"/>
          <w:sz w:val="20"/>
          <w:szCs w:val="2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229870</wp:posOffset>
            </wp:positionV>
            <wp:extent cx="6212205" cy="2934335"/>
            <wp:effectExtent l="0" t="0" r="0" b="0"/>
            <wp:wrapNone/>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6212205" cy="2934335"/>
                    </a:xfrm>
                    <a:prstGeom prst="rect">
                      <a:avLst/>
                    </a:prstGeom>
                    <a:noFill/>
                  </pic:spPr>
                </pic:pic>
              </a:graphicData>
            </a:graphic>
          </wp:anchor>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szCs w:val="30"/>
        </w:rPr>
      </w:pPr>
    </w:p>
    <w:p>
      <w:pPr>
        <w:autoSpaceDE w:val="0"/>
        <w:autoSpaceDN w:val="0"/>
        <w:adjustRightInd w:val="0"/>
        <w:spacing w:line="360" w:lineRule="auto"/>
        <w:jc w:val="left"/>
      </w:pPr>
    </w:p>
    <w:p>
      <w:pPr>
        <w:autoSpaceDE w:val="0"/>
        <w:autoSpaceDN w:val="0"/>
        <w:adjustRightInd w:val="0"/>
        <w:spacing w:line="360" w:lineRule="auto"/>
        <w:jc w:val="left"/>
        <w:rPr>
          <w:rFonts w:ascii="仿宋" w:hAnsi="仿宋" w:eastAsia="仿宋" w:cs="仿宋_GB2312"/>
          <w:kern w:val="0"/>
          <w:sz w:val="30"/>
          <w:szCs w:val="30"/>
        </w:rPr>
      </w:pPr>
    </w:p>
    <w:p>
      <w:pPr>
        <w:autoSpaceDE w:val="0"/>
        <w:autoSpaceDN w:val="0"/>
        <w:adjustRightInd w:val="0"/>
        <w:spacing w:line="360" w:lineRule="auto"/>
        <w:jc w:val="left"/>
        <w:rPr>
          <w:rFonts w:ascii="仿宋" w:hAnsi="仿宋" w:eastAsia="仿宋" w:cs="仿宋_GB2312"/>
          <w:kern w:val="0"/>
          <w:sz w:val="30"/>
          <w:szCs w:val="30"/>
        </w:rPr>
      </w:pPr>
    </w:p>
    <w:p>
      <w:pPr>
        <w:autoSpaceDE w:val="0"/>
        <w:autoSpaceDN w:val="0"/>
        <w:adjustRightInd w:val="0"/>
        <w:spacing w:line="360" w:lineRule="auto"/>
        <w:jc w:val="left"/>
        <w:rPr>
          <w:rFonts w:ascii="仿宋" w:hAnsi="仿宋" w:eastAsia="仿宋" w:cs="仿宋_GB2312"/>
          <w:kern w:val="0"/>
          <w:sz w:val="30"/>
          <w:szCs w:val="30"/>
        </w:rPr>
      </w:pPr>
    </w:p>
    <w:p>
      <w:pPr>
        <w:autoSpaceDE w:val="0"/>
        <w:autoSpaceDN w:val="0"/>
        <w:adjustRightInd w:val="0"/>
        <w:spacing w:line="360" w:lineRule="auto"/>
        <w:jc w:val="left"/>
        <w:rPr>
          <w:rFonts w:ascii="仿宋" w:hAnsi="仿宋" w:eastAsia="仿宋" w:cs="仿宋_GB2312"/>
          <w:kern w:val="0"/>
          <w:sz w:val="30"/>
          <w:szCs w:val="30"/>
        </w:rPr>
      </w:pPr>
    </w:p>
    <w:p>
      <w:pPr>
        <w:autoSpaceDE w:val="0"/>
        <w:autoSpaceDN w:val="0"/>
        <w:adjustRightInd w:val="0"/>
        <w:spacing w:line="360" w:lineRule="auto"/>
        <w:jc w:val="left"/>
        <w:rPr>
          <w:szCs w:val="30"/>
        </w:rPr>
      </w:pPr>
    </w:p>
    <w:p>
      <w:pPr>
        <w:autoSpaceDE w:val="0"/>
        <w:autoSpaceDN w:val="0"/>
        <w:adjustRightInd w:val="0"/>
        <w:spacing w:line="360" w:lineRule="auto"/>
        <w:jc w:val="left"/>
      </w:pPr>
      <w:r>
        <w:drawing>
          <wp:inline distT="0" distB="0" distL="114300" distR="114300">
            <wp:extent cx="5894705" cy="2867025"/>
            <wp:effectExtent l="0" t="0" r="10795" b="9525"/>
            <wp:docPr id="3" name="图片 14" descr="C:\Users\丁璇敏\Desktop\拨款支出决算表.png拨款支出决算表"/>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4" descr="C:\Users\丁璇敏\Desktop\拨款支出决算表.png拨款支出决算表"/>
                    <pic:cNvPicPr>
                      <a:picLocks noChangeAspect="true"/>
                    </pic:cNvPicPr>
                  </pic:nvPicPr>
                  <pic:blipFill>
                    <a:blip r:embed="rId9"/>
                    <a:srcRect/>
                    <a:stretch>
                      <a:fillRect/>
                    </a:stretch>
                  </pic:blipFill>
                  <pic:spPr>
                    <a:xfrm>
                      <a:off x="0" y="0"/>
                      <a:ext cx="5894705" cy="2867025"/>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941060" cy="8684895"/>
            <wp:effectExtent l="0" t="0" r="2540" b="1905"/>
            <wp:docPr id="10" name="图片 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32"/>
                    <pic:cNvPicPr>
                      <a:picLocks noChangeAspect="true"/>
                    </pic:cNvPicPr>
                  </pic:nvPicPr>
                  <pic:blipFill>
                    <a:blip r:embed="rId10"/>
                    <a:stretch>
                      <a:fillRect/>
                    </a:stretch>
                  </pic:blipFill>
                  <pic:spPr>
                    <a:xfrm>
                      <a:off x="0" y="0"/>
                      <a:ext cx="5941060" cy="8684895"/>
                    </a:xfrm>
                    <a:prstGeom prst="rect">
                      <a:avLst/>
                    </a:prstGeom>
                    <a:noFill/>
                    <a:ln>
                      <a:noFill/>
                    </a:ln>
                  </pic:spPr>
                </pic:pic>
              </a:graphicData>
            </a:graphic>
          </wp:inline>
        </w:drawing>
      </w:r>
    </w:p>
    <w:p>
      <w:pPr>
        <w:autoSpaceDE w:val="0"/>
        <w:autoSpaceDN w:val="0"/>
        <w:adjustRightInd w:val="0"/>
        <w:spacing w:line="360" w:lineRule="auto"/>
        <w:jc w:val="left"/>
        <w:rPr>
          <w:szCs w:val="30"/>
        </w:rPr>
      </w:pPr>
      <w:r>
        <w:drawing>
          <wp:inline distT="0" distB="0" distL="0" distR="0">
            <wp:extent cx="5713095" cy="4394200"/>
            <wp:effectExtent l="0" t="0" r="1905" b="6350"/>
            <wp:docPr id="17"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true" noChangeArrowheads="true"/>
                    </pic:cNvPicPr>
                  </pic:nvPicPr>
                  <pic:blipFill>
                    <a:blip r:embed="rId11">
                      <a:extLst>
                        <a:ext uri="{28A0092B-C50C-407E-A947-70E740481C1C}">
                          <a14:useLocalDpi xmlns:a14="http://schemas.microsoft.com/office/drawing/2010/main" val="false"/>
                        </a:ext>
                      </a:extLst>
                    </a:blip>
                    <a:srcRect/>
                    <a:stretch>
                      <a:fillRect/>
                    </a:stretch>
                  </pic:blipFill>
                  <pic:spPr>
                    <a:xfrm>
                      <a:off x="0" y="0"/>
                      <a:ext cx="5734459" cy="4410962"/>
                    </a:xfrm>
                    <a:prstGeom prst="rect">
                      <a:avLst/>
                    </a:prstGeom>
                    <a:noFill/>
                  </pic:spPr>
                </pic:pic>
              </a:graphicData>
            </a:graphic>
          </wp:inline>
        </w:drawing>
      </w:r>
      <w:r>
        <w:rPr>
          <w:rFonts w:ascii="Arial" w:hAnsi="Arial" w:cs="Arial"/>
          <w:color w:val="000000"/>
          <w:kern w:val="0"/>
          <w:sz w:val="20"/>
          <w:szCs w:val="20"/>
        </w:rPr>
        <w:drawing>
          <wp:anchor distT="0" distB="0" distL="114300" distR="114300" simplePos="0" relativeHeight="251661312" behindDoc="0" locked="0" layoutInCell="1" allowOverlap="1">
            <wp:simplePos x="0" y="0"/>
            <wp:positionH relativeFrom="column">
              <wp:posOffset>-6887210</wp:posOffset>
            </wp:positionH>
            <wp:positionV relativeFrom="paragraph">
              <wp:posOffset>-8074660</wp:posOffset>
            </wp:positionV>
            <wp:extent cx="6534150" cy="5524500"/>
            <wp:effectExtent l="0" t="0" r="0" b="0"/>
            <wp:wrapNone/>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6534150" cy="5524500"/>
                    </a:xfrm>
                    <a:prstGeom prst="rect">
                      <a:avLst/>
                    </a:prstGeom>
                    <a:noFill/>
                  </pic:spPr>
                </pic:pic>
              </a:graphicData>
            </a:graphic>
          </wp:anchor>
        </w:drawing>
      </w:r>
    </w:p>
    <w:p>
      <w:pPr>
        <w:autoSpaceDE w:val="0"/>
        <w:autoSpaceDN w:val="0"/>
        <w:adjustRightInd w:val="0"/>
        <w:spacing w:line="360" w:lineRule="auto"/>
        <w:jc w:val="left"/>
        <w:rPr>
          <w:szCs w:val="30"/>
        </w:rPr>
      </w:pPr>
    </w:p>
    <w:p>
      <w:pPr>
        <w:autoSpaceDE w:val="0"/>
        <w:autoSpaceDN w:val="0"/>
        <w:adjustRightInd w:val="0"/>
        <w:spacing w:line="360" w:lineRule="auto"/>
        <w:jc w:val="left"/>
        <w:rPr>
          <w:szCs w:val="30"/>
        </w:rPr>
      </w:pPr>
    </w:p>
    <w:p>
      <w:pPr>
        <w:autoSpaceDE w:val="0"/>
        <w:autoSpaceDN w:val="0"/>
        <w:adjustRightInd w:val="0"/>
        <w:spacing w:line="360" w:lineRule="auto"/>
        <w:jc w:val="left"/>
        <w:rPr>
          <w:szCs w:val="30"/>
        </w:rPr>
      </w:pPr>
      <w:r>
        <w:drawing>
          <wp:inline distT="0" distB="0" distL="0" distR="0">
            <wp:extent cx="5274310" cy="1849120"/>
            <wp:effectExtent l="0" t="0" r="2540" b="0"/>
            <wp:docPr id="18"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true" noChangeArrowheads="true"/>
                    </pic:cNvPicPr>
                  </pic:nvPicPr>
                  <pic:blipFill>
                    <a:blip r:embed="rId13">
                      <a:extLst>
                        <a:ext uri="{28A0092B-C50C-407E-A947-70E740481C1C}">
                          <a14:useLocalDpi xmlns:a14="http://schemas.microsoft.com/office/drawing/2010/main" val="false"/>
                        </a:ext>
                      </a:extLst>
                    </a:blip>
                    <a:srcRect/>
                    <a:stretch>
                      <a:fillRect/>
                    </a:stretch>
                  </pic:blipFill>
                  <pic:spPr>
                    <a:xfrm>
                      <a:off x="0" y="0"/>
                      <a:ext cx="5274310" cy="1849120"/>
                    </a:xfrm>
                    <a:prstGeom prst="rect">
                      <a:avLst/>
                    </a:prstGeom>
                    <a:noFill/>
                  </pic:spPr>
                </pic:pic>
              </a:graphicData>
            </a:graphic>
          </wp:inline>
        </w:drawing>
      </w:r>
    </w:p>
    <w:p>
      <w:pPr>
        <w:autoSpaceDE w:val="0"/>
        <w:autoSpaceDN w:val="0"/>
        <w:adjustRightInd w:val="0"/>
        <w:spacing w:line="360" w:lineRule="auto"/>
        <w:jc w:val="left"/>
        <w:rPr>
          <w:szCs w:val="30"/>
        </w:rPr>
      </w:pPr>
    </w:p>
    <w:p>
      <w:pPr>
        <w:autoSpaceDE w:val="0"/>
        <w:autoSpaceDN w:val="0"/>
        <w:adjustRightInd w:val="0"/>
        <w:spacing w:line="360" w:lineRule="auto"/>
        <w:jc w:val="left"/>
        <w:rPr>
          <w:szCs w:val="30"/>
        </w:rPr>
      </w:pPr>
    </w:p>
    <w:p>
      <w:pPr>
        <w:autoSpaceDE w:val="0"/>
        <w:autoSpaceDN w:val="0"/>
        <w:adjustRightInd w:val="0"/>
        <w:spacing w:line="360" w:lineRule="auto"/>
        <w:jc w:val="left"/>
      </w:pPr>
      <w:r>
        <w:drawing>
          <wp:inline distT="0" distB="0" distL="0" distR="0">
            <wp:extent cx="5274310" cy="1532255"/>
            <wp:effectExtent l="0" t="0" r="2540" b="0"/>
            <wp:docPr id="19"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5274310" cy="1532255"/>
                    </a:xfrm>
                    <a:prstGeom prst="rect">
                      <a:avLst/>
                    </a:prstGeom>
                    <a:noFill/>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0" distR="0">
            <wp:extent cx="5274310" cy="2934335"/>
            <wp:effectExtent l="0" t="0" r="2540" b="0"/>
            <wp:docPr id="20"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5274310" cy="2934335"/>
                    </a:xfrm>
                    <a:prstGeom prst="rect">
                      <a:avLst/>
                    </a:prstGeom>
                    <a:noFill/>
                  </pic:spPr>
                </pic:pic>
              </a:graphicData>
            </a:graphic>
          </wp:inline>
        </w:drawing>
      </w: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第三部分  2020年度部门决算情况说明</w:t>
      </w:r>
    </w:p>
    <w:p>
      <w:pPr>
        <w:ind w:firstLine="630"/>
        <w:jc w:val="left"/>
        <w:rPr>
          <w:rFonts w:ascii="仿宋" w:hAnsi="仿宋" w:eastAsia="仿宋"/>
          <w:sz w:val="30"/>
          <w:szCs w:val="30"/>
        </w:rPr>
      </w:pPr>
    </w:p>
    <w:p>
      <w:pPr>
        <w:ind w:firstLine="630"/>
        <w:jc w:val="left"/>
        <w:rPr>
          <w:rFonts w:ascii="黑体" w:hAnsi="黑体" w:eastAsia="黑体"/>
          <w:sz w:val="30"/>
          <w:szCs w:val="30"/>
        </w:rPr>
      </w:pPr>
      <w:r>
        <w:rPr>
          <w:rFonts w:hint="eastAsia" w:ascii="黑体" w:hAnsi="黑体" w:eastAsia="黑体"/>
          <w:sz w:val="30"/>
          <w:szCs w:val="30"/>
        </w:rPr>
        <w:t>一、收入决算情况说明</w:t>
      </w:r>
    </w:p>
    <w:p>
      <w:pPr>
        <w:ind w:firstLine="630"/>
        <w:jc w:val="left"/>
        <w:rPr>
          <w:rFonts w:ascii="仿宋" w:hAnsi="仿宋" w:eastAsia="仿宋"/>
          <w:sz w:val="30"/>
          <w:szCs w:val="30"/>
        </w:rPr>
      </w:pPr>
      <w:r>
        <w:rPr>
          <w:rFonts w:hint="eastAsia" w:ascii="仿宋" w:hAnsi="仿宋" w:eastAsia="仿宋"/>
          <w:sz w:val="30"/>
          <w:szCs w:val="30"/>
        </w:rPr>
        <w:t>本部门2020年度收入总计 492.38 万元，其中年初结转和结余 0 万元，较2019年增加（减少） 0 万元，增长（下降） 0 %；本年收入合计 492.38 万元，较2019年增加41.38  万元，增长 9.18 %，主要原因是：业务增加。</w:t>
      </w:r>
    </w:p>
    <w:p>
      <w:pPr>
        <w:ind w:firstLine="630"/>
        <w:jc w:val="left"/>
        <w:rPr>
          <w:rFonts w:ascii="仿宋" w:hAnsi="仿宋" w:eastAsia="仿宋"/>
          <w:sz w:val="30"/>
          <w:szCs w:val="30"/>
        </w:rPr>
      </w:pPr>
      <w:r>
        <w:rPr>
          <w:rFonts w:hint="eastAsia" w:ascii="仿宋" w:hAnsi="仿宋" w:eastAsia="仿宋"/>
          <w:sz w:val="30"/>
          <w:szCs w:val="30"/>
        </w:rPr>
        <w:t xml:space="preserve">本年收入的具体构成为：财政拨款收入 32.81 万元，占6.66  %；事业收入  0 万元，占0  %；经营收入 459.57  万元，占 93.33 %；其他收入 0  万元，占 0 %。  </w:t>
      </w:r>
    </w:p>
    <w:p>
      <w:pPr>
        <w:ind w:firstLine="630"/>
        <w:jc w:val="left"/>
        <w:rPr>
          <w:rFonts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sz w:val="30"/>
          <w:szCs w:val="30"/>
        </w:rPr>
      </w:pPr>
      <w:r>
        <w:rPr>
          <w:rFonts w:hint="eastAsia" w:ascii="仿宋" w:hAnsi="仿宋" w:eastAsia="仿宋"/>
          <w:sz w:val="30"/>
          <w:szCs w:val="30"/>
        </w:rPr>
        <w:t>本部门2020年度支出总计  492.38  万元，其中本年支出合计  492.38 万元，较2019年增加  41.38万元，增长9.18  %，主要原因是：人员增加；年末结转和结余 0  万元，较2019年增加（减少） 0 万元，增长（下降） 0 %，主要原因是：……。</w:t>
      </w:r>
    </w:p>
    <w:p>
      <w:pPr>
        <w:ind w:firstLine="630"/>
        <w:jc w:val="left"/>
        <w:rPr>
          <w:rFonts w:ascii="仿宋" w:hAnsi="仿宋" w:eastAsia="仿宋"/>
          <w:sz w:val="30"/>
          <w:szCs w:val="30"/>
        </w:rPr>
      </w:pPr>
      <w:r>
        <w:rPr>
          <w:rFonts w:hint="eastAsia" w:ascii="仿宋" w:hAnsi="仿宋" w:eastAsia="仿宋"/>
          <w:sz w:val="30"/>
          <w:szCs w:val="30"/>
        </w:rPr>
        <w:t>本年支出的具体构成为：基本支出  32.81万元，占 6.66 %；项目支出 0  万元，占  0 %；经营支出  459.57 万元，占 93.34 %；其他支出（对附属单位补助支出、上缴上级支出） 0  万元，占 0 %。</w:t>
      </w:r>
    </w:p>
    <w:p>
      <w:pPr>
        <w:ind w:firstLine="630"/>
        <w:jc w:val="left"/>
        <w:rPr>
          <w:rFonts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ascii="仿宋" w:hAnsi="仿宋" w:eastAsia="仿宋"/>
          <w:sz w:val="30"/>
          <w:szCs w:val="30"/>
        </w:rPr>
      </w:pPr>
      <w:r>
        <w:rPr>
          <w:rFonts w:hint="eastAsia" w:ascii="仿宋" w:hAnsi="仿宋" w:eastAsia="仿宋"/>
          <w:sz w:val="30"/>
          <w:szCs w:val="30"/>
        </w:rPr>
        <w:t>本部门2020年度财政拨款本年支出年初预算数为 32.81  万元，决算数为  32.81万元，完成年初预算的 100 %。其中：</w:t>
      </w:r>
    </w:p>
    <w:p>
      <w:pPr>
        <w:ind w:firstLine="630"/>
        <w:jc w:val="left"/>
        <w:rPr>
          <w:rFonts w:ascii="仿宋" w:hAnsi="仿宋" w:eastAsia="仿宋"/>
          <w:sz w:val="30"/>
          <w:szCs w:val="30"/>
        </w:rPr>
      </w:pPr>
      <w:r>
        <w:rPr>
          <w:rFonts w:hint="eastAsia" w:ascii="仿宋" w:hAnsi="仿宋" w:eastAsia="仿宋"/>
          <w:sz w:val="30"/>
          <w:szCs w:val="30"/>
        </w:rPr>
        <w:t>（一）一般公共服务支出年初预算数为  32.81 万元，决算数为  32.81万元，完成年初预算的 100 %，主要原因是：支付人员经费和公用经费。</w:t>
      </w:r>
    </w:p>
    <w:p>
      <w:pPr>
        <w:ind w:firstLine="630"/>
        <w:jc w:val="left"/>
        <w:rPr>
          <w:rFonts w:ascii="仿宋" w:hAnsi="仿宋" w:eastAsia="仿宋"/>
          <w:sz w:val="30"/>
          <w:szCs w:val="30"/>
        </w:rPr>
      </w:pPr>
      <w:r>
        <w:rPr>
          <w:rFonts w:hint="eastAsia" w:ascii="仿宋" w:hAnsi="仿宋" w:eastAsia="仿宋"/>
          <w:sz w:val="30"/>
          <w:szCs w:val="30"/>
        </w:rPr>
        <w:t>（二）公共安全支出年初预算数为 0  万元，决算数为 0 万元，完成年初预算的 0 %，主要原因是：</w:t>
      </w:r>
      <w:r>
        <w:rPr>
          <w:rFonts w:ascii="仿宋" w:hAnsi="仿宋" w:eastAsia="仿宋"/>
          <w:sz w:val="30"/>
          <w:szCs w:val="30"/>
        </w:rPr>
        <w:t>……</w:t>
      </w:r>
      <w:r>
        <w:rPr>
          <w:rFonts w:hint="eastAsia" w:ascii="仿宋" w:hAnsi="仿宋" w:eastAsia="仿宋"/>
          <w:sz w:val="30"/>
          <w:szCs w:val="30"/>
        </w:rPr>
        <w:t>。</w:t>
      </w:r>
    </w:p>
    <w:p>
      <w:pPr>
        <w:ind w:firstLine="585"/>
        <w:jc w:val="left"/>
        <w:rPr>
          <w:rFonts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ascii="仿宋" w:hAnsi="仿宋" w:eastAsia="仿宋"/>
          <w:sz w:val="30"/>
          <w:szCs w:val="30"/>
        </w:rPr>
      </w:pPr>
      <w:r>
        <w:rPr>
          <w:rFonts w:hint="eastAsia" w:ascii="仿宋" w:hAnsi="仿宋" w:eastAsia="仿宋"/>
          <w:sz w:val="30"/>
          <w:szCs w:val="30"/>
        </w:rPr>
        <w:t xml:space="preserve">本部门2020年度一般公共预算财政拨款基本支出 </w:t>
      </w:r>
      <w:r>
        <w:rPr>
          <w:rFonts w:ascii="仿宋" w:hAnsi="仿宋" w:eastAsia="仿宋"/>
          <w:sz w:val="30"/>
          <w:szCs w:val="30"/>
        </w:rPr>
        <w:t>32.81</w:t>
      </w:r>
      <w:r>
        <w:rPr>
          <w:rFonts w:hint="eastAsia" w:ascii="仿宋" w:hAnsi="仿宋" w:eastAsia="仿宋"/>
          <w:sz w:val="30"/>
          <w:szCs w:val="30"/>
        </w:rPr>
        <w:t xml:space="preserve"> 万元，其中：</w:t>
      </w:r>
    </w:p>
    <w:p>
      <w:pPr>
        <w:ind w:firstLine="585"/>
        <w:jc w:val="left"/>
        <w:rPr>
          <w:rFonts w:ascii="仿宋" w:hAnsi="仿宋" w:eastAsia="仿宋"/>
          <w:sz w:val="30"/>
          <w:szCs w:val="30"/>
        </w:rPr>
      </w:pPr>
      <w:r>
        <w:rPr>
          <w:rFonts w:hint="eastAsia" w:ascii="仿宋" w:hAnsi="仿宋" w:eastAsia="仿宋"/>
          <w:sz w:val="30"/>
          <w:szCs w:val="30"/>
        </w:rPr>
        <w:t xml:space="preserve">（一）工资福利支出 </w:t>
      </w:r>
      <w:r>
        <w:rPr>
          <w:rFonts w:ascii="仿宋" w:hAnsi="仿宋" w:eastAsia="仿宋"/>
          <w:sz w:val="30"/>
          <w:szCs w:val="30"/>
        </w:rPr>
        <w:t>29.72</w:t>
      </w:r>
      <w:r>
        <w:rPr>
          <w:rFonts w:hint="eastAsia" w:ascii="仿宋" w:hAnsi="仿宋" w:eastAsia="仿宋"/>
          <w:sz w:val="30"/>
          <w:szCs w:val="30"/>
        </w:rPr>
        <w:t xml:space="preserve"> 万元，较2019年增加</w:t>
      </w:r>
      <w:r>
        <w:rPr>
          <w:rFonts w:hint="eastAsia" w:ascii="仿宋" w:hAnsi="仿宋" w:eastAsia="仿宋"/>
          <w:sz w:val="30"/>
          <w:szCs w:val="30"/>
          <w:lang w:val="en-US" w:eastAsia="zh-CN"/>
        </w:rPr>
        <w:t>2.39</w:t>
      </w:r>
      <w:r>
        <w:rPr>
          <w:rFonts w:ascii="仿宋" w:hAnsi="仿宋" w:eastAsia="仿宋"/>
          <w:sz w:val="30"/>
          <w:szCs w:val="30"/>
        </w:rPr>
        <w:t xml:space="preserve"> </w:t>
      </w:r>
      <w:r>
        <w:rPr>
          <w:rFonts w:hint="eastAsia" w:ascii="仿宋" w:hAnsi="仿宋" w:eastAsia="仿宋"/>
          <w:sz w:val="30"/>
          <w:szCs w:val="30"/>
        </w:rPr>
        <w:t>万元，增长</w:t>
      </w:r>
      <w:r>
        <w:rPr>
          <w:rFonts w:ascii="仿宋" w:hAnsi="仿宋" w:eastAsia="仿宋"/>
          <w:sz w:val="30"/>
          <w:szCs w:val="30"/>
        </w:rPr>
        <w:t xml:space="preserve"> </w:t>
      </w:r>
      <w:r>
        <w:rPr>
          <w:rFonts w:hint="eastAsia" w:ascii="仿宋" w:hAnsi="仿宋" w:eastAsia="仿宋"/>
          <w:sz w:val="30"/>
          <w:szCs w:val="30"/>
        </w:rPr>
        <w:t xml:space="preserve"> </w:t>
      </w:r>
      <w:r>
        <w:rPr>
          <w:rFonts w:hint="eastAsia" w:ascii="仿宋" w:hAnsi="仿宋" w:eastAsia="仿宋"/>
          <w:sz w:val="30"/>
          <w:szCs w:val="30"/>
          <w:lang w:val="en-US" w:eastAsia="zh-CN"/>
        </w:rPr>
        <w:t>8.74</w:t>
      </w:r>
      <w:r>
        <w:rPr>
          <w:rFonts w:hint="eastAsia" w:ascii="仿宋" w:hAnsi="仿宋" w:eastAsia="仿宋"/>
          <w:sz w:val="30"/>
          <w:szCs w:val="30"/>
        </w:rPr>
        <w:t xml:space="preserve"> %，主要原因是：编制人员增加。</w:t>
      </w:r>
    </w:p>
    <w:p>
      <w:pPr>
        <w:ind w:firstLine="585"/>
        <w:jc w:val="left"/>
        <w:rPr>
          <w:rFonts w:ascii="仿宋" w:hAnsi="仿宋" w:eastAsia="仿宋"/>
          <w:sz w:val="30"/>
          <w:szCs w:val="30"/>
        </w:rPr>
      </w:pPr>
      <w:r>
        <w:rPr>
          <w:rFonts w:hint="eastAsia" w:ascii="仿宋" w:hAnsi="仿宋" w:eastAsia="仿宋"/>
          <w:sz w:val="30"/>
          <w:szCs w:val="30"/>
        </w:rPr>
        <w:t>（二）商品和服务支出</w:t>
      </w:r>
      <w:r>
        <w:rPr>
          <w:rFonts w:ascii="仿宋" w:hAnsi="仿宋" w:eastAsia="仿宋"/>
          <w:sz w:val="30"/>
          <w:szCs w:val="30"/>
        </w:rPr>
        <w:t>2.2</w:t>
      </w:r>
      <w:r>
        <w:rPr>
          <w:rFonts w:hint="eastAsia" w:ascii="仿宋" w:hAnsi="仿宋" w:eastAsia="仿宋"/>
          <w:sz w:val="30"/>
          <w:szCs w:val="30"/>
        </w:rPr>
        <w:t xml:space="preserve"> 万元，较2019年增加</w:t>
      </w:r>
      <w:r>
        <w:rPr>
          <w:rFonts w:hint="eastAsia" w:ascii="仿宋" w:hAnsi="仿宋" w:eastAsia="仿宋"/>
          <w:sz w:val="30"/>
          <w:szCs w:val="30"/>
          <w:lang w:val="en-US" w:eastAsia="zh-CN"/>
        </w:rPr>
        <w:t>0.5</w:t>
      </w:r>
      <w:r>
        <w:rPr>
          <w:rFonts w:ascii="仿宋" w:hAnsi="仿宋" w:eastAsia="仿宋"/>
          <w:sz w:val="30"/>
          <w:szCs w:val="30"/>
        </w:rPr>
        <w:t xml:space="preserve"> </w:t>
      </w:r>
      <w:r>
        <w:rPr>
          <w:rFonts w:hint="eastAsia" w:ascii="仿宋" w:hAnsi="仿宋" w:eastAsia="仿宋"/>
          <w:sz w:val="30"/>
          <w:szCs w:val="30"/>
        </w:rPr>
        <w:t>万元，增长</w:t>
      </w:r>
      <w:r>
        <w:rPr>
          <w:rFonts w:ascii="仿宋" w:hAnsi="仿宋" w:eastAsia="仿宋"/>
          <w:sz w:val="30"/>
          <w:szCs w:val="30"/>
        </w:rPr>
        <w:t xml:space="preserve"> </w:t>
      </w:r>
      <w:r>
        <w:rPr>
          <w:rFonts w:hint="eastAsia" w:ascii="仿宋" w:hAnsi="仿宋" w:eastAsia="仿宋"/>
          <w:sz w:val="30"/>
          <w:szCs w:val="30"/>
        </w:rPr>
        <w:t xml:space="preserve"> </w:t>
      </w:r>
      <w:r>
        <w:rPr>
          <w:rFonts w:hint="eastAsia" w:ascii="仿宋" w:hAnsi="仿宋" w:eastAsia="仿宋"/>
          <w:sz w:val="30"/>
          <w:szCs w:val="30"/>
          <w:lang w:val="en-US" w:eastAsia="zh-CN"/>
        </w:rPr>
        <w:t>29.41</w:t>
      </w:r>
      <w:r>
        <w:rPr>
          <w:rFonts w:hint="eastAsia" w:ascii="仿宋" w:hAnsi="仿宋" w:eastAsia="仿宋"/>
          <w:sz w:val="30"/>
          <w:szCs w:val="30"/>
        </w:rPr>
        <w:t xml:space="preserve"> %，主要原因是：公用经费增加。</w:t>
      </w:r>
    </w:p>
    <w:p>
      <w:pPr>
        <w:ind w:left="510" w:leftChars="100" w:hanging="300" w:hangingChars="100"/>
        <w:jc w:val="left"/>
        <w:rPr>
          <w:rFonts w:ascii="仿宋" w:hAnsi="仿宋" w:eastAsia="仿宋"/>
          <w:sz w:val="30"/>
          <w:szCs w:val="30"/>
        </w:rPr>
      </w:pPr>
      <w:r>
        <w:rPr>
          <w:rFonts w:hint="eastAsia" w:ascii="仿宋" w:hAnsi="仿宋" w:eastAsia="仿宋"/>
          <w:sz w:val="30"/>
          <w:szCs w:val="30"/>
        </w:rPr>
        <w:t xml:space="preserve">（三）对个人和家庭补助支出 </w:t>
      </w:r>
      <w:r>
        <w:rPr>
          <w:rFonts w:ascii="仿宋" w:hAnsi="仿宋" w:eastAsia="仿宋"/>
          <w:sz w:val="30"/>
          <w:szCs w:val="30"/>
        </w:rPr>
        <w:t>0.89</w:t>
      </w:r>
      <w:r>
        <w:rPr>
          <w:rFonts w:hint="eastAsia" w:ascii="仿宋" w:hAnsi="仿宋" w:eastAsia="仿宋"/>
          <w:sz w:val="30"/>
          <w:szCs w:val="30"/>
        </w:rPr>
        <w:t xml:space="preserve"> 万元，较2019年增加万</w:t>
      </w:r>
      <w:r>
        <w:rPr>
          <w:rFonts w:hint="eastAsia" w:ascii="仿宋" w:hAnsi="仿宋" w:eastAsia="仿宋"/>
          <w:sz w:val="30"/>
          <w:szCs w:val="30"/>
          <w:lang w:val="en-US" w:eastAsia="zh-CN"/>
        </w:rPr>
        <w:t>0.3万</w:t>
      </w:r>
      <w:r>
        <w:rPr>
          <w:rFonts w:hint="eastAsia" w:ascii="仿宋" w:hAnsi="仿宋" w:eastAsia="仿宋"/>
          <w:sz w:val="30"/>
          <w:szCs w:val="30"/>
        </w:rPr>
        <w:t>元，增长</w:t>
      </w:r>
      <w:r>
        <w:rPr>
          <w:rFonts w:ascii="仿宋" w:hAnsi="仿宋" w:eastAsia="仿宋"/>
          <w:sz w:val="30"/>
          <w:szCs w:val="30"/>
        </w:rPr>
        <w:t xml:space="preserve"> </w:t>
      </w:r>
      <w:r>
        <w:rPr>
          <w:rFonts w:hint="eastAsia" w:ascii="仿宋" w:hAnsi="仿宋" w:eastAsia="仿宋"/>
          <w:sz w:val="30"/>
          <w:szCs w:val="30"/>
          <w:lang w:val="en-US" w:eastAsia="zh-CN"/>
        </w:rPr>
        <w:t>34.88</w:t>
      </w:r>
      <w:r>
        <w:rPr>
          <w:rFonts w:hint="eastAsia" w:ascii="仿宋" w:hAnsi="仿宋" w:eastAsia="仿宋"/>
          <w:sz w:val="30"/>
          <w:szCs w:val="30"/>
        </w:rPr>
        <w:t xml:space="preserve">  %，主要原因是：对退休人员的补助。</w:t>
      </w:r>
    </w:p>
    <w:p>
      <w:pPr>
        <w:ind w:firstLine="585"/>
        <w:jc w:val="left"/>
        <w:rPr>
          <w:rFonts w:ascii="仿宋" w:hAnsi="仿宋" w:eastAsia="仿宋"/>
          <w:sz w:val="30"/>
          <w:szCs w:val="30"/>
        </w:rPr>
      </w:pPr>
      <w:r>
        <w:rPr>
          <w:rFonts w:hint="eastAsia" w:ascii="仿宋" w:hAnsi="仿宋" w:eastAsia="仿宋"/>
          <w:sz w:val="30"/>
          <w:szCs w:val="30"/>
        </w:rPr>
        <w:t xml:space="preserve">（四）资本性支出 </w:t>
      </w:r>
      <w:r>
        <w:rPr>
          <w:rFonts w:ascii="仿宋" w:hAnsi="仿宋" w:eastAsia="仿宋"/>
          <w:sz w:val="30"/>
          <w:szCs w:val="30"/>
        </w:rPr>
        <w:t>0</w:t>
      </w:r>
      <w:r>
        <w:rPr>
          <w:rFonts w:hint="eastAsia" w:ascii="仿宋" w:hAnsi="仿宋" w:eastAsia="仿宋"/>
          <w:sz w:val="30"/>
          <w:szCs w:val="30"/>
        </w:rPr>
        <w:t>万元，较2019年增加</w:t>
      </w:r>
      <w:r>
        <w:rPr>
          <w:rFonts w:ascii="仿宋" w:hAnsi="仿宋" w:eastAsia="仿宋"/>
          <w:sz w:val="30"/>
          <w:szCs w:val="30"/>
        </w:rPr>
        <w:t xml:space="preserve"> </w:t>
      </w:r>
      <w:r>
        <w:rPr>
          <w:rFonts w:hint="eastAsia" w:ascii="仿宋" w:hAnsi="仿宋" w:eastAsia="仿宋"/>
          <w:sz w:val="30"/>
          <w:szCs w:val="30"/>
        </w:rPr>
        <w:t>万元，增长100  %，主要原因是：</w:t>
      </w:r>
      <w:r>
        <w:rPr>
          <w:rFonts w:ascii="仿宋" w:hAnsi="仿宋" w:eastAsia="仿宋"/>
          <w:sz w:val="30"/>
          <w:szCs w:val="30"/>
        </w:rPr>
        <w:t>……</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ascii="仿宋" w:hAnsi="仿宋" w:eastAsia="仿宋"/>
          <w:sz w:val="30"/>
          <w:szCs w:val="30"/>
        </w:rPr>
      </w:pPr>
      <w:r>
        <w:rPr>
          <w:rFonts w:hint="eastAsia" w:ascii="仿宋" w:hAnsi="仿宋" w:eastAsia="仿宋"/>
          <w:sz w:val="30"/>
          <w:szCs w:val="30"/>
        </w:rPr>
        <w:t>本部门2020年度一般公共预算财政拨款“三公”经费支出年初预算数为 0  万元，决算数为 0 万元，完成预算的 0 %，决算数较2019年增加（减少） 0 万元，增长（下降）0  %，其中：</w:t>
      </w:r>
    </w:p>
    <w:p>
      <w:pPr>
        <w:ind w:firstLine="630"/>
        <w:jc w:val="left"/>
        <w:rPr>
          <w:rFonts w:ascii="仿宋" w:hAnsi="仿宋" w:eastAsia="仿宋"/>
          <w:sz w:val="30"/>
          <w:szCs w:val="30"/>
        </w:rPr>
      </w:pPr>
      <w:r>
        <w:rPr>
          <w:rFonts w:hint="eastAsia" w:ascii="仿宋" w:hAnsi="仿宋" w:eastAsia="仿宋"/>
          <w:sz w:val="30"/>
          <w:szCs w:val="30"/>
        </w:rPr>
        <w:t>（一）因公出国（境）支出年初预算数为   0万元，决算数为  0万元，完成预算的0 %，决算数较2019年增加（减少）  0万元，增长（下降） 0 %，主要原因是......。决算数较年初预算数增加（减少）的主要原因是：</w:t>
      </w:r>
      <w:r>
        <w:rPr>
          <w:rFonts w:ascii="仿宋" w:hAnsi="仿宋" w:eastAsia="仿宋"/>
          <w:sz w:val="30"/>
          <w:szCs w:val="30"/>
        </w:rPr>
        <w:t>……</w:t>
      </w:r>
      <w:r>
        <w:rPr>
          <w:rFonts w:hint="eastAsia" w:ascii="仿宋" w:hAnsi="仿宋" w:eastAsia="仿宋"/>
          <w:sz w:val="30"/>
          <w:szCs w:val="30"/>
        </w:rPr>
        <w:t>。全年安排因公出国（境）团组 0 个，累计  0人次，主要为：</w:t>
      </w:r>
      <w:r>
        <w:rPr>
          <w:rFonts w:ascii="仿宋" w:hAnsi="仿宋" w:eastAsia="仿宋"/>
          <w:sz w:val="30"/>
          <w:szCs w:val="30"/>
        </w:rPr>
        <w:t>……</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（二）公务接待费支出年初预算数为  0 万元，决算数为  0万元，完成预算的0 %，决算数较2019年增加（减少）0  万元，增长（下降）0  %，主要原因是......。决算数较年初预算数增加（减少）的主要原因是：</w:t>
      </w:r>
      <w:r>
        <w:rPr>
          <w:rFonts w:ascii="仿宋" w:hAnsi="仿宋" w:eastAsia="仿宋"/>
          <w:sz w:val="30"/>
          <w:szCs w:val="30"/>
        </w:rPr>
        <w:t>……</w:t>
      </w:r>
      <w:r>
        <w:rPr>
          <w:rFonts w:hint="eastAsia" w:ascii="仿宋" w:hAnsi="仿宋" w:eastAsia="仿宋"/>
          <w:sz w:val="30"/>
          <w:szCs w:val="30"/>
        </w:rPr>
        <w:t>。全年国内公务接待 0 批，累计接待 0 人次，其中外事接待   0批，累计接待 0 人次，主要为：</w:t>
      </w:r>
      <w:r>
        <w:rPr>
          <w:rFonts w:ascii="仿宋" w:hAnsi="仿宋" w:eastAsia="仿宋"/>
          <w:sz w:val="30"/>
          <w:szCs w:val="30"/>
        </w:rPr>
        <w:t>……</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（三）公务用车购置及运行维护费支出 0  万元，其中公务用车购置年初预算数为 0  万元，决算数为  0万元，完成预算的 0%，决算数较2019年增加（减少） 0 万元，增长（下降）0  %，主要原因是......，全年购置公务用车 0  辆。决算数较年初预算数增加（减少）的主要原因是：</w:t>
      </w:r>
      <w:r>
        <w:rPr>
          <w:rFonts w:ascii="仿宋" w:hAnsi="仿宋" w:eastAsia="仿宋"/>
          <w:sz w:val="30"/>
          <w:szCs w:val="30"/>
        </w:rPr>
        <w:t>……</w:t>
      </w:r>
      <w:r>
        <w:rPr>
          <w:rFonts w:hint="eastAsia" w:ascii="仿宋" w:hAnsi="仿宋" w:eastAsia="仿宋"/>
          <w:sz w:val="30"/>
          <w:szCs w:val="30"/>
        </w:rPr>
        <w:t>；公务用车运行维护费支出年初预算数为  0 万元，决算数为  0万元，完成预算的 %，决算数较2019年增加（减少） 0 万元，增长（下降）0  %，主要原因是......，年末公务用车保有0  辆。决算数较年初预算数增加（减少）的主要原因是：</w:t>
      </w:r>
      <w:r>
        <w:rPr>
          <w:rFonts w:ascii="仿宋" w:hAnsi="仿宋" w:eastAsia="仿宋"/>
          <w:sz w:val="30"/>
          <w:szCs w:val="30"/>
        </w:rPr>
        <w:t>……</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ascii="仿宋" w:hAnsi="仿宋" w:eastAsia="仿宋"/>
          <w:sz w:val="30"/>
          <w:szCs w:val="30"/>
        </w:rPr>
      </w:pPr>
      <w:r>
        <w:rPr>
          <w:rFonts w:hint="eastAsia" w:ascii="仿宋" w:hAnsi="仿宋" w:eastAsia="仿宋"/>
          <w:sz w:val="30"/>
          <w:szCs w:val="30"/>
        </w:rPr>
        <w:t xml:space="preserve">本部门2020年度机关运行经费支出  0 万元（与部门决算中行政单位和参照公务员法管理事业单位一般公共预算财政拨款基本支出中公用经费之和一致），较年初预算数（或者上年决算数）增加（减少） 0 万元，增长（降低）0  %，主要原因是：办公设施设备购置经费增加（减少）/资产运行维护支出增加（减少）/信息系统运行维护支出增加（减少）/人员编制数量增加（减少）/落实过紧日子要求压减XX支出/......等（具体增减原因由部门根据实际情况填列）。 </w:t>
      </w:r>
    </w:p>
    <w:p>
      <w:pPr>
        <w:ind w:firstLine="630"/>
        <w:jc w:val="left"/>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pStyle w:val="11"/>
        <w:spacing w:line="600" w:lineRule="atLeast"/>
        <w:ind w:firstLine="600"/>
        <w:rPr>
          <w:rFonts w:ascii="仿宋" w:hAnsi="仿宋" w:eastAsia="仿宋"/>
          <w:sz w:val="30"/>
          <w:szCs w:val="30"/>
        </w:rPr>
      </w:pPr>
      <w:r>
        <w:rPr>
          <w:rFonts w:hint="eastAsia" w:ascii="仿宋" w:hAnsi="仿宋" w:eastAsia="仿宋"/>
          <w:sz w:val="30"/>
          <w:szCs w:val="30"/>
        </w:rPr>
        <w:t>本部门2020年度政府采购支出总额 0 万元，其中：政府采购货物支出 0 万元、政府采购工程支出  0万元、政府采购服务支出  0万元。授予中小企业合同金额  0万元，占政府采购支出总额的0  %，其中：授予小微企业合同金额  0万元，占政府采购支出总额的0  %。（市级部门公开的政府采购金额的计算口径为：本部门纳入2020年部门预算范围的各项政府采购支出金额之和，不包括涉密采购项目的支出金额。）</w:t>
      </w:r>
    </w:p>
    <w:p>
      <w:pPr>
        <w:ind w:firstLine="630"/>
        <w:jc w:val="left"/>
        <w:rPr>
          <w:rFonts w:ascii="黑体" w:hAnsi="黑体" w:eastAsia="黑体"/>
          <w:sz w:val="30"/>
          <w:szCs w:val="30"/>
        </w:rPr>
      </w:pPr>
      <w:r>
        <w:rPr>
          <w:rFonts w:hint="eastAsia" w:ascii="黑体" w:hAnsi="黑体" w:eastAsia="黑体"/>
          <w:sz w:val="30"/>
          <w:szCs w:val="30"/>
        </w:rPr>
        <w:t>八、国有资产占用情况说明。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w:t>
      </w:r>
      <w:r>
        <w:rPr>
          <w:rFonts w:hint="eastAsia" w:ascii="仿宋" w:hAnsi="仿宋" w:eastAsia="仿宋"/>
          <w:kern w:val="0"/>
          <w:sz w:val="30"/>
          <w:szCs w:val="30"/>
          <w:lang w:eastAsia="zh-CN"/>
        </w:rPr>
        <w:t>至</w:t>
      </w:r>
      <w:bookmarkStart w:id="0" w:name="_GoBack"/>
      <w:bookmarkEnd w:id="0"/>
      <w:r>
        <w:rPr>
          <w:rFonts w:hint="eastAsia" w:ascii="仿宋" w:hAnsi="仿宋" w:eastAsia="仿宋"/>
          <w:kern w:val="0"/>
          <w:sz w:val="30"/>
          <w:szCs w:val="30"/>
        </w:rPr>
        <w:t>2020年12月31日，本部门（单位）国有资产占用情况见公开10表《国有资产占用情况表》。其中车辆中的其他用车主要是</w:t>
      </w:r>
      <w:r>
        <w:rPr>
          <w:rFonts w:ascii="仿宋" w:hAnsi="仿宋" w:eastAsia="仿宋"/>
          <w:kern w:val="0"/>
          <w:sz w:val="30"/>
          <w:szCs w:val="30"/>
        </w:rPr>
        <w:t>……</w:t>
      </w:r>
      <w:r>
        <w:rPr>
          <w:rFonts w:hint="eastAsia" w:ascii="仿宋" w:hAnsi="仿宋" w:eastAsia="仿宋"/>
          <w:kern w:val="0"/>
          <w:sz w:val="30"/>
          <w:szCs w:val="30"/>
        </w:rPr>
        <w:t>。</w:t>
      </w:r>
    </w:p>
    <w:p>
      <w:pPr>
        <w:ind w:firstLine="630"/>
        <w:jc w:val="left"/>
        <w:rPr>
          <w:rFonts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w:t>
      </w:r>
      <w:r>
        <w:rPr>
          <w:rFonts w:hint="eastAsia" w:ascii="仿宋" w:hAnsi="仿宋" w:eastAsia="仿宋" w:cs="仿宋_GB2312"/>
          <w:kern w:val="0"/>
          <w:sz w:val="30"/>
          <w:szCs w:val="30"/>
        </w:rPr>
        <w:t xml:space="preserve">20年度一般公共预算项目支出所有二级项目 0 个全面开展绩效自评，共涉及资金  0万元，占一般公共预算项目支出总额的 0 %。    </w:t>
      </w:r>
    </w:p>
    <w:p>
      <w:pPr>
        <w:autoSpaceDE w:val="0"/>
        <w:autoSpaceDN w:val="0"/>
        <w:adjustRightInd w:val="0"/>
        <w:spacing w:line="360" w:lineRule="auto"/>
        <w:ind w:firstLine="600"/>
        <w:jc w:val="left"/>
        <w:rPr>
          <w:rFonts w:ascii="仿宋" w:hAnsi="仿宋" w:eastAsia="仿宋" w:cs="仿宋_GB2312"/>
          <w:kern w:val="0"/>
          <w:sz w:val="30"/>
          <w:szCs w:val="30"/>
        </w:rPr>
      </w:pPr>
      <w:r>
        <w:rPr>
          <w:rFonts w:hint="eastAsia" w:ascii="仿宋" w:hAnsi="仿宋" w:eastAsia="仿宋" w:cs="仿宋_GB2312"/>
          <w:kern w:val="0"/>
          <w:sz w:val="30"/>
          <w:szCs w:val="30"/>
        </w:rPr>
        <w:t>组织对“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  个项目开展了部门评价，涉及一般公共预算支出  万元，政府性基金预算支出  万元。其中，对“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”等项目分别委托“</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”等第三方机构开展</w:t>
      </w:r>
      <w:r>
        <w:rPr>
          <w:rFonts w:hint="eastAsia" w:ascii="仿宋" w:hAnsi="仿宋" w:eastAsia="仿宋" w:cs="宋体"/>
          <w:kern w:val="0"/>
          <w:sz w:val="30"/>
          <w:szCs w:val="30"/>
        </w:rPr>
        <w:t>绩效评价</w:t>
      </w:r>
      <w:r>
        <w:rPr>
          <w:rFonts w:hint="eastAsia" w:ascii="仿宋" w:hAnsi="仿宋" w:eastAsia="仿宋" w:cs="仿宋_GB2312"/>
          <w:kern w:val="0"/>
          <w:sz w:val="30"/>
          <w:szCs w:val="30"/>
        </w:rPr>
        <w:t>。从评价情况来看，……（请对预算绩效评价情况进行简单说明）。</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组织对“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  个部门（单位）开展整体支出绩效评价试点，涉及一般公共预算支出  万元，政府性基金预算支出  万元。其中，对“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”等部门（单位）整体支出分别委托“</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”等第三方机构开展</w:t>
      </w:r>
      <w:r>
        <w:rPr>
          <w:rFonts w:hint="eastAsia" w:ascii="仿宋" w:hAnsi="仿宋" w:eastAsia="仿宋" w:cs="宋体"/>
          <w:kern w:val="0"/>
          <w:sz w:val="30"/>
          <w:szCs w:val="30"/>
        </w:rPr>
        <w:t>绩效评价</w:t>
      </w:r>
      <w:r>
        <w:rPr>
          <w:rFonts w:hint="eastAsia" w:ascii="仿宋" w:hAnsi="仿宋" w:eastAsia="仿宋" w:cs="仿宋_GB2312"/>
          <w:kern w:val="0"/>
          <w:sz w:val="30"/>
          <w:szCs w:val="30"/>
        </w:rPr>
        <w:t>。从评价情况来看，……（请对整体支出绩效评价情况进行简单说明）。</w:t>
      </w:r>
    </w:p>
    <w:p>
      <w:pPr>
        <w:autoSpaceDE w:val="0"/>
        <w:autoSpaceDN w:val="0"/>
        <w:adjustRightInd w:val="0"/>
        <w:spacing w:line="360" w:lineRule="auto"/>
        <w:ind w:firstLine="585"/>
        <w:jc w:val="left"/>
        <w:rPr>
          <w:rFonts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（二）部门决算中项目绩效自评结果。（应当将2020年度市级部门决算项目绩效自评综述和《项目支出绩效自评表》进行公开。）</w:t>
      </w:r>
    </w:p>
    <w:p>
      <w:pPr>
        <w:autoSpaceDE w:val="0"/>
        <w:autoSpaceDN w:val="0"/>
        <w:adjustRightInd w:val="0"/>
        <w:spacing w:line="360" w:lineRule="auto"/>
        <w:ind w:firstLine="585"/>
        <w:jc w:val="left"/>
        <w:rPr>
          <w:rFonts w:ascii="仿宋" w:hAnsi="仿宋" w:eastAsia="仿宋" w:cs="仿宋_GB2312"/>
          <w:kern w:val="0"/>
          <w:sz w:val="30"/>
          <w:szCs w:val="30"/>
        </w:rPr>
      </w:pPr>
      <w:r>
        <w:rPr>
          <w:rFonts w:hint="eastAsia" w:ascii="仿宋" w:hAnsi="仿宋" w:eastAsia="仿宋" w:cs="仿宋_GB2312"/>
          <w:kern w:val="0"/>
          <w:sz w:val="30"/>
          <w:szCs w:val="30"/>
        </w:rPr>
        <w:t>我部门今年在市级部门决算中反映</w:t>
      </w:r>
      <w:r>
        <w:rPr>
          <w:rFonts w:ascii="仿宋" w:hAnsi="仿宋" w:eastAsia="仿宋" w:cs="仿宋_GB2312"/>
          <w:kern w:val="0"/>
          <w:sz w:val="30"/>
          <w:szCs w:val="30"/>
        </w:rPr>
        <w:t>XXX</w:t>
      </w:r>
      <w:r>
        <w:rPr>
          <w:rFonts w:hint="eastAsia" w:ascii="仿宋" w:hAnsi="仿宋" w:eastAsia="仿宋" w:cs="仿宋_GB2312"/>
          <w:kern w:val="0"/>
          <w:sz w:val="30"/>
          <w:szCs w:val="30"/>
        </w:rPr>
        <w:t>及</w:t>
      </w:r>
      <w:r>
        <w:rPr>
          <w:rFonts w:ascii="仿宋" w:hAnsi="仿宋" w:eastAsia="仿宋" w:cs="仿宋_GB2312"/>
          <w:kern w:val="0"/>
          <w:sz w:val="30"/>
          <w:szCs w:val="30"/>
        </w:rPr>
        <w:t>XXX</w:t>
      </w:r>
      <w:r>
        <w:rPr>
          <w:rFonts w:hint="eastAsia" w:ascii="仿宋" w:hAnsi="仿宋" w:eastAsia="仿宋" w:cs="仿宋_GB2312"/>
          <w:kern w:val="0"/>
          <w:sz w:val="30"/>
          <w:szCs w:val="30"/>
        </w:rPr>
        <w:t>项目绩效自评结果。</w:t>
      </w:r>
    </w:p>
    <w:p>
      <w:pPr>
        <w:autoSpaceDE w:val="0"/>
        <w:autoSpaceDN w:val="0"/>
        <w:adjustRightInd w:val="0"/>
        <w:spacing w:line="360" w:lineRule="auto"/>
        <w:ind w:firstLine="585"/>
        <w:jc w:val="left"/>
        <w:rPr>
          <w:rFonts w:ascii="仿宋" w:hAnsi="仿宋" w:eastAsia="仿宋" w:cs="仿宋_GB2312"/>
          <w:kern w:val="0"/>
          <w:sz w:val="30"/>
          <w:szCs w:val="30"/>
        </w:rPr>
      </w:pPr>
      <w:r>
        <w:rPr>
          <w:rFonts w:hint="eastAsia" w:ascii="仿宋" w:hAnsi="仿宋" w:eastAsia="仿宋" w:cs="仿宋_GB2312"/>
          <w:kern w:val="0"/>
          <w:sz w:val="30"/>
          <w:szCs w:val="30"/>
        </w:rPr>
        <w:t>项目绩效自评总体综述：根据年初设定的绩效目标，</w:t>
      </w:r>
      <w:r>
        <w:rPr>
          <w:rFonts w:ascii="仿宋" w:hAnsi="仿宋" w:eastAsia="仿宋" w:cs="仿宋_GB2312"/>
          <w:kern w:val="0"/>
          <w:sz w:val="30"/>
          <w:szCs w:val="30"/>
        </w:rPr>
        <w:t>XXX</w:t>
      </w:r>
      <w:r>
        <w:rPr>
          <w:rFonts w:hint="eastAsia" w:ascii="仿宋" w:hAnsi="仿宋" w:eastAsia="仿宋" w:cs="仿宋_GB2312"/>
          <w:kern w:val="0"/>
          <w:sz w:val="30"/>
          <w:szCs w:val="30"/>
        </w:rPr>
        <w:t xml:space="preserve">项目绩效自评得分为 </w:t>
      </w:r>
      <w:r>
        <w:rPr>
          <w:rFonts w:ascii="仿宋" w:hAnsi="仿宋" w:eastAsia="仿宋" w:cs="仿宋_GB2312"/>
          <w:kern w:val="0"/>
          <w:sz w:val="30"/>
          <w:szCs w:val="30"/>
        </w:rPr>
        <w:t xml:space="preserve"> </w:t>
      </w:r>
      <w:r>
        <w:rPr>
          <w:rFonts w:hint="eastAsia" w:ascii="仿宋" w:hAnsi="仿宋" w:eastAsia="仿宋" w:cs="仿宋_GB2312"/>
          <w:kern w:val="0"/>
          <w:sz w:val="30"/>
          <w:szCs w:val="30"/>
        </w:rPr>
        <w:t xml:space="preserve">分。项目全年预算数为  万元，执行数为   </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万元，完成预算的  %。项目绩效目标完成情况：一是……；二是……。发现的问题及原因：一是……；二是……。下一步改进措施：一是……；二是……。</w:t>
      </w:r>
    </w:p>
    <w:p>
      <w:pPr>
        <w:autoSpaceDE w:val="0"/>
        <w:autoSpaceDN w:val="0"/>
        <w:adjustRightInd w:val="0"/>
        <w:spacing w:line="360" w:lineRule="auto"/>
        <w:ind w:firstLine="600"/>
        <w:jc w:val="left"/>
        <w:rPr>
          <w:rFonts w:ascii="仿宋" w:hAnsi="仿宋" w:eastAsia="仿宋" w:cs="仿宋_GB2312"/>
          <w:kern w:val="0"/>
          <w:sz w:val="30"/>
          <w:szCs w:val="30"/>
        </w:rPr>
      </w:pPr>
      <w:r>
        <w:rPr>
          <w:rFonts w:hint="eastAsia" w:ascii="仿宋" w:hAnsi="仿宋" w:eastAsia="仿宋" w:cs="仿宋_GB2312"/>
          <w:kern w:val="0"/>
          <w:sz w:val="30"/>
          <w:szCs w:val="30"/>
        </w:rPr>
        <w:t>（三）部门评价项目绩效评价结果。</w:t>
      </w:r>
    </w:p>
    <w:p>
      <w:pPr>
        <w:autoSpaceDE w:val="0"/>
        <w:autoSpaceDN w:val="0"/>
        <w:adjustRightInd w:val="0"/>
        <w:spacing w:line="360" w:lineRule="auto"/>
        <w:ind w:firstLine="600"/>
        <w:jc w:val="left"/>
        <w:rPr>
          <w:rFonts w:ascii="仿宋" w:hAnsi="仿宋" w:eastAsia="仿宋" w:cs="仿宋_GB2312"/>
          <w:kern w:val="0"/>
          <w:sz w:val="30"/>
          <w:szCs w:val="30"/>
        </w:rPr>
      </w:pPr>
      <w:r>
        <w:rPr>
          <w:rFonts w:hint="eastAsia" w:ascii="仿宋" w:hAnsi="仿宋" w:eastAsia="仿宋" w:cs="仿宋_GB2312"/>
          <w:kern w:val="0"/>
          <w:sz w:val="30"/>
          <w:szCs w:val="30"/>
        </w:rPr>
        <w:t>每个市级部门至少将1个部门评价报告向社会公开，报告框架可参考《项目支出绩效评价办法》（财预</w:t>
      </w:r>
      <w:r>
        <w:rPr>
          <w:rFonts w:hint="eastAsia" w:ascii="仿宋" w:hAnsi="仿宋" w:eastAsia="仿宋" w:cs="仿宋"/>
          <w:kern w:val="0"/>
          <w:sz w:val="30"/>
          <w:szCs w:val="30"/>
        </w:rPr>
        <w:t>〔</w:t>
      </w:r>
      <w:r>
        <w:rPr>
          <w:rFonts w:hint="eastAsia" w:ascii="仿宋" w:hAnsi="仿宋" w:eastAsia="仿宋" w:cs="仿宋_GB2312"/>
          <w:kern w:val="0"/>
          <w:sz w:val="30"/>
          <w:szCs w:val="30"/>
        </w:rPr>
        <w:t>2020</w:t>
      </w:r>
      <w:r>
        <w:rPr>
          <w:rFonts w:hint="eastAsia" w:ascii="仿宋" w:hAnsi="仿宋" w:eastAsia="仿宋" w:cs="仿宋"/>
          <w:kern w:val="0"/>
          <w:sz w:val="30"/>
          <w:szCs w:val="30"/>
        </w:rPr>
        <w:t>〕</w:t>
      </w:r>
      <w:r>
        <w:rPr>
          <w:rFonts w:hint="eastAsia" w:ascii="仿宋" w:hAnsi="仿宋" w:eastAsia="仿宋" w:cs="仿宋_GB2312"/>
          <w:kern w:val="0"/>
          <w:sz w:val="30"/>
          <w:szCs w:val="30"/>
        </w:rPr>
        <w:t>10号）中《项目支出绩效评价报告（参考提纲）》。</w:t>
      </w:r>
    </w:p>
    <w:p>
      <w:pPr>
        <w:autoSpaceDE w:val="0"/>
        <w:autoSpaceDN w:val="0"/>
        <w:adjustRightInd w:val="0"/>
        <w:spacing w:line="360" w:lineRule="auto"/>
        <w:ind w:firstLine="600"/>
        <w:jc w:val="left"/>
        <w:rPr>
          <w:rFonts w:ascii="仿宋" w:hAnsi="仿宋" w:eastAsia="仿宋" w:cs="仿宋_GB2312"/>
          <w:kern w:val="0"/>
          <w:sz w:val="30"/>
          <w:szCs w:val="30"/>
        </w:rPr>
      </w:pPr>
    </w:p>
    <w:p>
      <w:pPr>
        <w:widowControl/>
        <w:spacing w:line="600" w:lineRule="exact"/>
        <w:ind w:firstLine="640"/>
        <w:jc w:val="center"/>
        <w:rPr>
          <w:rFonts w:ascii="宋体" w:hAnsi="宋体"/>
          <w:b/>
          <w:sz w:val="32"/>
          <w:szCs w:val="32"/>
        </w:rPr>
      </w:pPr>
      <w:r>
        <w:rPr>
          <w:rFonts w:hint="eastAsia" w:ascii="宋体" w:hAnsi="宋体"/>
          <w:b/>
          <w:sz w:val="32"/>
          <w:szCs w:val="32"/>
        </w:rPr>
        <w:t>第四部分  名词解释</w:t>
      </w:r>
    </w:p>
    <w:p>
      <w:pPr>
        <w:pStyle w:val="11"/>
        <w:spacing w:line="600" w:lineRule="atLeast"/>
        <w:ind w:firstLine="600"/>
        <w:rPr>
          <w:rFonts w:ascii="仿宋" w:hAnsi="仿宋" w:eastAsia="仿宋"/>
          <w:sz w:val="30"/>
          <w:szCs w:val="30"/>
        </w:rPr>
      </w:pPr>
    </w:p>
    <w:p>
      <w:pPr>
        <w:widowControl/>
        <w:spacing w:line="580" w:lineRule="exact"/>
        <w:ind w:firstLine="640"/>
        <w:jc w:val="left"/>
        <w:rPr>
          <w:rFonts w:ascii="仿宋_GB2312" w:eastAsia="仿宋_GB2312"/>
          <w:sz w:val="32"/>
          <w:szCs w:val="30"/>
        </w:rPr>
      </w:pPr>
      <w:r>
        <w:rPr>
          <w:rFonts w:hint="eastAsia" w:ascii="仿宋" w:hAnsi="仿宋" w:eastAsia="仿宋"/>
          <w:kern w:val="0"/>
          <w:sz w:val="30"/>
          <w:szCs w:val="30"/>
        </w:rPr>
        <w:t xml:space="preserve">    </w:t>
      </w:r>
      <w:r>
        <w:rPr>
          <w:rFonts w:hint="eastAsia" w:ascii="仿宋_GB2312" w:eastAsia="仿宋_GB2312"/>
          <w:sz w:val="32"/>
          <w:szCs w:val="30"/>
        </w:rPr>
        <w:t>、收入科目</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各部门结合实际进行解释。</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（一）财政拨款：指省级财政当年拨付的资金。</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（三）事业单位经营收入：指事业单位在专业业务活动及辅助活动之外开展非独立核算经营活动取得的收入。</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（四）其他收入：指除财政拨款、事业收入、事业单位经营收入等以外的各项收入。</w:t>
      </w:r>
    </w:p>
    <w:p>
      <w:pPr>
        <w:ind w:firstLine="640" w:firstLineChars="200"/>
        <w:rPr>
          <w:rFonts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ind w:firstLine="640" w:firstLineChars="200"/>
        <w:rPr>
          <w:rFonts w:ascii="仿宋_GB2312" w:eastAsia="仿宋_GB2312"/>
          <w:sz w:val="32"/>
          <w:szCs w:val="30"/>
        </w:rPr>
      </w:pPr>
      <w:r>
        <w:rPr>
          <w:rFonts w:hint="eastAsia" w:ascii="仿宋_GB2312" w:eastAsia="仿宋_GB2312"/>
          <w:sz w:val="32"/>
          <w:szCs w:val="30"/>
        </w:rPr>
        <w:t>（七）用事业基金弥补收支差额：填列事业单位用事业基金弥补2021年收支差额的数额。</w:t>
      </w:r>
    </w:p>
    <w:p>
      <w:pPr>
        <w:ind w:firstLine="640" w:firstLineChars="200"/>
        <w:rPr>
          <w:rFonts w:ascii="仿宋_GB2312" w:eastAsia="仿宋_GB2312"/>
          <w:sz w:val="32"/>
          <w:szCs w:val="30"/>
        </w:rPr>
      </w:pPr>
      <w:r>
        <w:rPr>
          <w:rFonts w:hint="eastAsia" w:ascii="仿宋_GB2312" w:eastAsia="仿宋_GB2312"/>
          <w:sz w:val="32"/>
          <w:szCs w:val="30"/>
        </w:rPr>
        <w:t>（八）上年结转和结余：填列2020年全部结转和结余的资金数，包括当年结转结余资金和历年滚存结转结余资金。</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对部门预算中涉及的支出功能分类科目（明细到项级），结合部门实际，参照《2021年政府收支分类科目》的规范说明进行解释。</w:t>
      </w:r>
    </w:p>
    <w:p>
      <w:pPr>
        <w:pStyle w:val="5"/>
        <w:widowControl/>
        <w:spacing w:before="0" w:beforeAutospacing="0" w:after="0" w:afterAutospacing="0"/>
        <w:ind w:firstLine="320" w:firstLineChars="100"/>
        <w:rPr>
          <w:rFonts w:ascii="仿宋_GB2312" w:eastAsia="仿宋_GB2312"/>
          <w:sz w:val="32"/>
          <w:szCs w:val="30"/>
        </w:rPr>
      </w:pPr>
      <w:r>
        <w:rPr>
          <w:rFonts w:hint="eastAsia" w:ascii="Adobe 仿宋 Std R" w:hAnsi="Adobe 仿宋 Std R" w:eastAsia="Adobe 仿宋 Std R"/>
          <w:sz w:val="32"/>
          <w:szCs w:val="32"/>
          <w:u w:color="FFFFFF"/>
        </w:rPr>
        <w:t>（一）事业运行：用于事业单位的基本支出，不包括行政单位（包括实行公务员管理的事业单位）、后勤中心等附属事业单位；</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vert="horz" wrap="none" lIns="0" tIns="0" rIns="0" bIns="0" anchor="t" anchorCtr="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AdxUu7wgEAAGwDAAAOAAAAAAAAAAEAIAAA&#10;ADQBAABkcnMvZTJvRG9jLnhtbFBLBQYAAAAABgAGAFkBAABo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1AB64"/>
    <w:multiLevelType w:val="singleLevel"/>
    <w:tmpl w:val="CEF1AB64"/>
    <w:lvl w:ilvl="0" w:tentative="0">
      <w:start w:val="8"/>
      <w:numFmt w:val="chineseCounting"/>
      <w:suff w:val="nothing"/>
      <w:lvlText w:val="%1、"/>
      <w:lvlJc w:val="left"/>
      <w:pPr>
        <w:ind w:left="12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oNotShadeFormData w:val="true"/>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C17"/>
    <w:rsid w:val="000A42C7"/>
    <w:rsid w:val="00107C3A"/>
    <w:rsid w:val="00172A27"/>
    <w:rsid w:val="002307B7"/>
    <w:rsid w:val="0049187B"/>
    <w:rsid w:val="007A6DD5"/>
    <w:rsid w:val="007B4961"/>
    <w:rsid w:val="007F2C88"/>
    <w:rsid w:val="008667DE"/>
    <w:rsid w:val="00903CA6"/>
    <w:rsid w:val="00A733F8"/>
    <w:rsid w:val="00C170FF"/>
    <w:rsid w:val="00C24D87"/>
    <w:rsid w:val="00C30C87"/>
    <w:rsid w:val="00C93DE4"/>
    <w:rsid w:val="00CE39B8"/>
    <w:rsid w:val="00D036FA"/>
    <w:rsid w:val="02753EDB"/>
    <w:rsid w:val="02D56C90"/>
    <w:rsid w:val="0569372E"/>
    <w:rsid w:val="076D374E"/>
    <w:rsid w:val="0794679F"/>
    <w:rsid w:val="08C1769F"/>
    <w:rsid w:val="09F262E3"/>
    <w:rsid w:val="0C135B3F"/>
    <w:rsid w:val="0C19054E"/>
    <w:rsid w:val="0C58464D"/>
    <w:rsid w:val="0F1D7688"/>
    <w:rsid w:val="104E164E"/>
    <w:rsid w:val="11F631AE"/>
    <w:rsid w:val="12450D35"/>
    <w:rsid w:val="13AA2296"/>
    <w:rsid w:val="14D702A7"/>
    <w:rsid w:val="15761CB3"/>
    <w:rsid w:val="16FC47B8"/>
    <w:rsid w:val="17636C08"/>
    <w:rsid w:val="178822E8"/>
    <w:rsid w:val="195A6CF6"/>
    <w:rsid w:val="1AC9700C"/>
    <w:rsid w:val="1B562253"/>
    <w:rsid w:val="1C9F6334"/>
    <w:rsid w:val="21067D39"/>
    <w:rsid w:val="21A118FA"/>
    <w:rsid w:val="24201257"/>
    <w:rsid w:val="28E82B9E"/>
    <w:rsid w:val="2CD2355A"/>
    <w:rsid w:val="2D9519C3"/>
    <w:rsid w:val="2DA250CB"/>
    <w:rsid w:val="34476162"/>
    <w:rsid w:val="36716B17"/>
    <w:rsid w:val="383C1025"/>
    <w:rsid w:val="397210E2"/>
    <w:rsid w:val="3CF20C83"/>
    <w:rsid w:val="3D0F50C1"/>
    <w:rsid w:val="3EAD1633"/>
    <w:rsid w:val="41583DDD"/>
    <w:rsid w:val="42093F30"/>
    <w:rsid w:val="437C4001"/>
    <w:rsid w:val="468D6DAD"/>
    <w:rsid w:val="470A31F2"/>
    <w:rsid w:val="47227264"/>
    <w:rsid w:val="47552AFC"/>
    <w:rsid w:val="47A27B34"/>
    <w:rsid w:val="48DE322C"/>
    <w:rsid w:val="4D492421"/>
    <w:rsid w:val="4EED34E2"/>
    <w:rsid w:val="501206B1"/>
    <w:rsid w:val="508634C3"/>
    <w:rsid w:val="50CA041C"/>
    <w:rsid w:val="512B1605"/>
    <w:rsid w:val="56061877"/>
    <w:rsid w:val="57C35C95"/>
    <w:rsid w:val="58883C77"/>
    <w:rsid w:val="589B7671"/>
    <w:rsid w:val="59A85C8B"/>
    <w:rsid w:val="5C6466F8"/>
    <w:rsid w:val="5CF31433"/>
    <w:rsid w:val="613E5769"/>
    <w:rsid w:val="61515715"/>
    <w:rsid w:val="630774A2"/>
    <w:rsid w:val="67874F61"/>
    <w:rsid w:val="68DF4AD2"/>
    <w:rsid w:val="69335F34"/>
    <w:rsid w:val="69B84F71"/>
    <w:rsid w:val="6A7A659F"/>
    <w:rsid w:val="6B8754EE"/>
    <w:rsid w:val="6B987E73"/>
    <w:rsid w:val="6C8245C1"/>
    <w:rsid w:val="6C85609A"/>
    <w:rsid w:val="6FEE4D1E"/>
    <w:rsid w:val="6FF66C93"/>
    <w:rsid w:val="7011220E"/>
    <w:rsid w:val="72D11FE6"/>
    <w:rsid w:val="74315475"/>
    <w:rsid w:val="77FD250F"/>
    <w:rsid w:val="784E0692"/>
    <w:rsid w:val="7DA5B506"/>
    <w:rsid w:val="7FAD6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批注框文本 字符"/>
    <w:basedOn w:val="7"/>
    <w:link w:val="2"/>
    <w:qFormat/>
    <w:uiPriority w:val="0"/>
    <w:rPr>
      <w:sz w:val="18"/>
      <w:szCs w:val="18"/>
    </w:rPr>
  </w:style>
  <w:style w:type="character" w:customStyle="1" w:styleId="9">
    <w:name w:val="页脚 字符"/>
    <w:basedOn w:val="7"/>
    <w:link w:val="3"/>
    <w:qFormat/>
    <w:uiPriority w:val="0"/>
    <w:rPr>
      <w:sz w:val="18"/>
      <w:szCs w:val="18"/>
    </w:rPr>
  </w:style>
  <w:style w:type="character" w:customStyle="1" w:styleId="10">
    <w:name w:val="页眉 字符"/>
    <w:basedOn w:val="7"/>
    <w:link w:val="4"/>
    <w:qFormat/>
    <w:uiPriority w:val="0"/>
    <w:rPr>
      <w:sz w:val="18"/>
      <w:szCs w:val="18"/>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e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17</Pages>
  <Words>3492</Words>
  <Characters>3780</Characters>
  <Lines>30</Lines>
  <Paragraphs>8</Paragraphs>
  <TotalTime>37</TotalTime>
  <ScaleCrop>false</ScaleCrop>
  <LinksUpToDate>false</LinksUpToDate>
  <CharactersWithSpaces>4125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2019-05-31T00:41:00Z</dcterms:created>
  <dc:creator>李嘉玉</dc:creator>
  <cp:lastModifiedBy>颜宝峰</cp:lastModifiedBy>
  <cp:lastPrinted>2021-09-02T13:01:00Z</cp:lastPrinted>
  <dcterms:modified xsi:type="dcterms:W3CDTF">2023-12-27T14:28:42Z</dcterms:modified>
  <dc:title>李嘉玉</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C7BF2043BC89457D919CAF08DFE26C48</vt:lpwstr>
  </property>
</Properties>
</file>