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spacing w:before="0" w:line="520" w:lineRule="exact"/>
        <w:ind w:firstLine="0"/>
        <w:rPr>
          <w:rFonts w:hint="eastAsia" w:cs="宋体" w:asciiTheme="majorEastAsia" w:hAnsiTheme="majorEastAsia" w:eastAsiaTheme="majorEastAsia"/>
          <w:b/>
          <w:color w:val="000000"/>
          <w:spacing w:val="0"/>
          <w:kern w:val="0"/>
          <w:sz w:val="44"/>
          <w:szCs w:val="44"/>
          <w:lang w:val="zh-TW" w:eastAsia="zh-TW"/>
        </w:rPr>
      </w:pPr>
      <w:bookmarkStart w:id="0" w:name="bookmark20"/>
      <w:r>
        <w:rPr>
          <w:rFonts w:hint="eastAsia" w:cs="宋体" w:asciiTheme="majorEastAsia" w:hAnsiTheme="majorEastAsia" w:eastAsiaTheme="majorEastAsia"/>
          <w:b/>
          <w:color w:val="000000"/>
          <w:spacing w:val="0"/>
          <w:kern w:val="0"/>
          <w:sz w:val="44"/>
          <w:szCs w:val="44"/>
          <w:lang w:val="zh-TW" w:eastAsia="zh-TW"/>
        </w:rPr>
        <w:t>鄱阳县人民政府</w:t>
      </w:r>
    </w:p>
    <w:p>
      <w:pPr>
        <w:pStyle w:val="8"/>
        <w:shd w:val="clear" w:color="auto" w:fill="FFFFFF"/>
        <w:spacing w:before="0" w:line="520" w:lineRule="exact"/>
        <w:ind w:firstLine="0"/>
        <w:rPr>
          <w:rFonts w:hint="eastAsia" w:cs="宋体" w:asciiTheme="majorEastAsia" w:hAnsiTheme="majorEastAsia" w:eastAsiaTheme="majorEastAsia"/>
          <w:b/>
          <w:color w:val="000000"/>
          <w:spacing w:val="0"/>
          <w:kern w:val="0"/>
          <w:sz w:val="44"/>
          <w:szCs w:val="44"/>
          <w:lang w:val="zh-TW" w:eastAsia="zh-TW"/>
        </w:rPr>
      </w:pPr>
      <w:r>
        <w:rPr>
          <w:rFonts w:hint="eastAsia" w:cs="宋体" w:asciiTheme="majorEastAsia" w:hAnsiTheme="majorEastAsia" w:eastAsiaTheme="majorEastAsia"/>
          <w:b/>
          <w:color w:val="000000"/>
          <w:spacing w:val="0"/>
          <w:kern w:val="0"/>
          <w:sz w:val="44"/>
          <w:szCs w:val="44"/>
          <w:lang w:val="zh-TW" w:eastAsia="zh-TW"/>
        </w:rPr>
        <w:t>关于鄱阳县</w:t>
      </w:r>
      <w:r>
        <w:rPr>
          <w:rFonts w:hint="eastAsia" w:cs="宋体" w:asciiTheme="majorEastAsia" w:hAnsiTheme="majorEastAsia" w:eastAsiaTheme="majorEastAsia"/>
          <w:b/>
          <w:color w:val="000000"/>
          <w:spacing w:val="0"/>
          <w:kern w:val="0"/>
          <w:sz w:val="44"/>
          <w:szCs w:val="44"/>
          <w:lang w:val="en-US" w:eastAsia="zh-CN"/>
        </w:rPr>
        <w:t>G236国道挂线建设工程</w:t>
      </w:r>
      <w:r>
        <w:rPr>
          <w:rFonts w:hint="eastAsia" w:cs="宋体" w:asciiTheme="majorEastAsia" w:hAnsiTheme="majorEastAsia" w:eastAsiaTheme="majorEastAsia"/>
          <w:b/>
          <w:color w:val="000000"/>
          <w:spacing w:val="0"/>
          <w:kern w:val="0"/>
          <w:sz w:val="44"/>
          <w:szCs w:val="44"/>
          <w:lang w:val="zh-TW" w:eastAsia="zh-TW"/>
        </w:rPr>
        <w:t>建设用地征收土地公告</w:t>
      </w:r>
      <w:bookmarkEnd w:id="0"/>
    </w:p>
    <w:p>
      <w:pPr>
        <w:pStyle w:val="8"/>
        <w:shd w:val="clear" w:color="auto" w:fill="FFFFFF"/>
        <w:spacing w:before="0" w:line="520" w:lineRule="exact"/>
        <w:ind w:firstLine="0"/>
        <w:rPr>
          <w:rFonts w:hint="eastAsia" w:cs="宋体" w:asciiTheme="majorEastAsia" w:hAnsiTheme="majorEastAsia" w:eastAsiaTheme="majorEastAsia"/>
          <w:b/>
          <w:color w:val="000000"/>
          <w:spacing w:val="0"/>
          <w:kern w:val="0"/>
          <w:sz w:val="44"/>
          <w:szCs w:val="44"/>
          <w:lang w:val="zh-TW" w:eastAsia="zh-TW"/>
        </w:rPr>
      </w:pPr>
    </w:p>
    <w:p>
      <w:pPr>
        <w:keepNext w:val="0"/>
        <w:keepLines w:val="0"/>
        <w:pageBreakBefore w:val="0"/>
        <w:widowControl w:val="0"/>
        <w:kinsoku/>
        <w:wordWrap/>
        <w:overflowPunct/>
        <w:topLinePunct w:val="0"/>
        <w:autoSpaceDE/>
        <w:autoSpaceDN/>
        <w:bidi w:val="0"/>
        <w:adjustRightInd/>
        <w:snapToGrid/>
        <w:spacing w:line="336" w:lineRule="exact"/>
        <w:ind w:firstLine="640" w:firstLineChars="200"/>
        <w:jc w:val="both"/>
        <w:textAlignment w:val="auto"/>
        <w:rPr>
          <w:rFonts w:hint="eastAsia" w:ascii="仿宋_GB2312" w:hAnsi="Times New Roman" w:eastAsia="仿宋_GB2312" w:cs="Times New Roman"/>
          <w:color w:val="auto"/>
          <w:kern w:val="2"/>
          <w:sz w:val="32"/>
          <w:szCs w:val="32"/>
          <w:lang w:val="en-US" w:eastAsia="zh-CN"/>
        </w:rPr>
      </w:pPr>
      <w:r>
        <w:rPr>
          <w:rFonts w:hint="eastAsia" w:ascii="仿宋_GB2312" w:hAnsi="Times New Roman" w:eastAsia="仿宋_GB2312" w:cs="Times New Roman"/>
          <w:color w:val="auto"/>
          <w:kern w:val="2"/>
          <w:sz w:val="32"/>
          <w:szCs w:val="32"/>
          <w:lang w:val="en-US" w:eastAsia="zh-CN"/>
        </w:rPr>
        <w:t>鄱阳县</w:t>
      </w:r>
      <w:r>
        <w:rPr>
          <w:rFonts w:hint="eastAsia" w:ascii="仿宋_GB2312" w:eastAsia="仿宋_GB2312" w:cs="仿宋_GB2312"/>
          <w:spacing w:val="-6"/>
          <w:sz w:val="32"/>
          <w:szCs w:val="32"/>
          <w:lang w:val="en-US" w:eastAsia="zh-CN"/>
        </w:rPr>
        <w:t>G236国道挂线</w:t>
      </w:r>
      <w:r>
        <w:rPr>
          <w:rFonts w:hint="eastAsia" w:ascii="仿宋_GB2312" w:hAnsi="Times New Roman" w:eastAsia="仿宋_GB2312" w:cs="Times New Roman"/>
          <w:color w:val="auto"/>
          <w:kern w:val="2"/>
          <w:sz w:val="32"/>
          <w:szCs w:val="32"/>
          <w:lang w:val="en-US" w:eastAsia="zh-CN"/>
        </w:rPr>
        <w:t>建设项目用地业经省政府批准。现将依法批准的征收土地方案有关事项公告如下:</w:t>
      </w:r>
    </w:p>
    <w:p>
      <w:pPr>
        <w:keepNext w:val="0"/>
        <w:keepLines w:val="0"/>
        <w:pageBreakBefore w:val="0"/>
        <w:widowControl w:val="0"/>
        <w:kinsoku/>
        <w:wordWrap/>
        <w:overflowPunct/>
        <w:topLinePunct w:val="0"/>
        <w:autoSpaceDE/>
        <w:autoSpaceDN/>
        <w:bidi w:val="0"/>
        <w:adjustRightInd/>
        <w:snapToGrid/>
        <w:spacing w:line="336" w:lineRule="exact"/>
        <w:ind w:firstLine="643" w:firstLineChars="200"/>
        <w:jc w:val="both"/>
        <w:textAlignment w:val="auto"/>
        <w:rPr>
          <w:rFonts w:hint="eastAsia" w:ascii="仿宋_GB2312" w:hAnsi="Times New Roman" w:eastAsia="仿宋_GB2312" w:cs="Times New Roman"/>
          <w:b/>
          <w:bCs/>
          <w:color w:val="auto"/>
          <w:kern w:val="2"/>
          <w:sz w:val="32"/>
          <w:szCs w:val="32"/>
          <w:lang w:val="en-US" w:eastAsia="zh-CN"/>
        </w:rPr>
      </w:pPr>
      <w:r>
        <w:rPr>
          <w:rFonts w:hint="eastAsia" w:ascii="仿宋_GB2312" w:hAnsi="Times New Roman" w:eastAsia="仿宋_GB2312" w:cs="Times New Roman"/>
          <w:b/>
          <w:bCs/>
          <w:color w:val="auto"/>
          <w:kern w:val="2"/>
          <w:sz w:val="32"/>
          <w:szCs w:val="32"/>
          <w:lang w:val="en-US" w:eastAsia="zh-CN"/>
        </w:rPr>
        <w:t>一、批准文号</w:t>
      </w:r>
    </w:p>
    <w:p>
      <w:pPr>
        <w:keepNext w:val="0"/>
        <w:keepLines w:val="0"/>
        <w:pageBreakBefore w:val="0"/>
        <w:widowControl w:val="0"/>
        <w:kinsoku/>
        <w:wordWrap/>
        <w:overflowPunct/>
        <w:topLinePunct w:val="0"/>
        <w:autoSpaceDE/>
        <w:autoSpaceDN/>
        <w:bidi w:val="0"/>
        <w:adjustRightInd/>
        <w:snapToGrid/>
        <w:spacing w:line="336" w:lineRule="exact"/>
        <w:ind w:firstLine="640" w:firstLineChars="200"/>
        <w:jc w:val="both"/>
        <w:textAlignment w:val="auto"/>
        <w:rPr>
          <w:rFonts w:hint="eastAsia" w:ascii="仿宋_GB2312" w:hAnsi="Times New Roman" w:eastAsia="仿宋_GB2312" w:cs="Times New Roman"/>
          <w:color w:val="auto"/>
          <w:kern w:val="2"/>
          <w:sz w:val="32"/>
          <w:szCs w:val="32"/>
          <w:lang w:val="en-US" w:eastAsia="zh-CN"/>
        </w:rPr>
      </w:pPr>
      <w:r>
        <w:rPr>
          <w:rFonts w:hint="eastAsia" w:ascii="仿宋_GB2312" w:hAnsi="Times New Roman" w:eastAsia="仿宋_GB2312" w:cs="Times New Roman"/>
          <w:color w:val="auto"/>
          <w:kern w:val="2"/>
          <w:sz w:val="32"/>
          <w:szCs w:val="32"/>
          <w:lang w:val="en-US" w:eastAsia="zh-CN"/>
        </w:rPr>
        <w:t>赣土批字</w:t>
      </w:r>
      <w:r>
        <w:rPr>
          <w:rFonts w:hint="eastAsia" w:ascii="仿宋_GB2312" w:hAnsi="Times New Roman" w:eastAsia="仿宋_GB2312" w:cs="Times New Roman"/>
          <w:color w:val="0000FF"/>
          <w:kern w:val="2"/>
          <w:sz w:val="32"/>
          <w:szCs w:val="32"/>
          <w:lang w:val="en-US" w:eastAsia="zh-CN"/>
        </w:rPr>
        <w:t>〔2022〕24</w:t>
      </w:r>
      <w:r>
        <w:rPr>
          <w:rFonts w:hint="eastAsia" w:ascii="仿宋_GB2312" w:hAnsi="Times New Roman" w:eastAsia="仿宋_GB2312" w:cs="Times New Roman"/>
          <w:color w:val="auto"/>
          <w:kern w:val="2"/>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336" w:lineRule="exact"/>
        <w:ind w:firstLine="643" w:firstLineChars="200"/>
        <w:jc w:val="both"/>
        <w:textAlignment w:val="auto"/>
        <w:rPr>
          <w:rFonts w:hint="eastAsia" w:ascii="仿宋_GB2312" w:hAnsi="Times New Roman" w:eastAsia="仿宋_GB2312" w:cs="Times New Roman"/>
          <w:b/>
          <w:bCs/>
          <w:color w:val="auto"/>
          <w:kern w:val="2"/>
          <w:sz w:val="32"/>
          <w:szCs w:val="32"/>
          <w:u w:val="none"/>
          <w:lang w:val="en-US" w:eastAsia="zh-CN"/>
        </w:rPr>
      </w:pPr>
      <w:r>
        <w:rPr>
          <w:rFonts w:hint="eastAsia" w:ascii="仿宋_GB2312" w:hAnsi="Times New Roman" w:eastAsia="仿宋_GB2312" w:cs="Times New Roman"/>
          <w:b/>
          <w:bCs/>
          <w:color w:val="auto"/>
          <w:kern w:val="2"/>
          <w:sz w:val="32"/>
          <w:szCs w:val="32"/>
          <w:lang w:val="en-US" w:eastAsia="zh-CN"/>
        </w:rPr>
        <w:t>二、规划用途</w:t>
      </w:r>
    </w:p>
    <w:p>
      <w:pPr>
        <w:keepNext w:val="0"/>
        <w:keepLines w:val="0"/>
        <w:pageBreakBefore w:val="0"/>
        <w:widowControl w:val="0"/>
        <w:kinsoku/>
        <w:wordWrap/>
        <w:overflowPunct/>
        <w:topLinePunct w:val="0"/>
        <w:autoSpaceDE/>
        <w:autoSpaceDN/>
        <w:bidi w:val="0"/>
        <w:adjustRightInd/>
        <w:snapToGrid/>
        <w:spacing w:line="336" w:lineRule="exact"/>
        <w:ind w:firstLine="640" w:firstLineChars="200"/>
        <w:jc w:val="both"/>
        <w:textAlignment w:val="auto"/>
        <w:rPr>
          <w:rFonts w:hint="eastAsia" w:ascii="仿宋_GB2312" w:hAnsi="Times New Roman" w:eastAsia="仿宋_GB2312" w:cs="Times New Roman"/>
          <w:color w:val="0000FF"/>
          <w:kern w:val="2"/>
          <w:sz w:val="32"/>
          <w:szCs w:val="32"/>
          <w:u w:val="none"/>
          <w:lang w:val="en-US" w:eastAsia="zh-CN"/>
        </w:rPr>
      </w:pPr>
      <w:r>
        <w:rPr>
          <w:rFonts w:hint="eastAsia" w:ascii="仿宋_GB2312" w:hAnsi="Times New Roman" w:eastAsia="仿宋_GB2312" w:cs="Times New Roman"/>
          <w:color w:val="auto"/>
          <w:kern w:val="2"/>
          <w:sz w:val="32"/>
          <w:szCs w:val="32"/>
          <w:u w:val="none"/>
          <w:lang w:val="en-US" w:eastAsia="zh-CN"/>
        </w:rPr>
        <w:t>征收土地规划用</w:t>
      </w:r>
      <w:r>
        <w:rPr>
          <w:rFonts w:hint="eastAsia" w:ascii="仿宋_GB2312" w:hAnsi="Times New Roman" w:eastAsia="仿宋_GB2312" w:cs="Times New Roman"/>
          <w:color w:val="auto"/>
          <w:kern w:val="2"/>
          <w:sz w:val="32"/>
          <w:szCs w:val="32"/>
          <w:highlight w:val="none"/>
          <w:lang w:val="en-US" w:eastAsia="zh-CN"/>
        </w:rPr>
        <w:t>路基工程</w:t>
      </w:r>
      <w:r>
        <w:rPr>
          <w:rFonts w:hint="eastAsia" w:ascii="仿宋_GB2312" w:hAnsi="Times New Roman" w:eastAsia="仿宋_GB2312" w:cs="Times New Roman"/>
          <w:color w:val="auto"/>
          <w:kern w:val="2"/>
          <w:sz w:val="32"/>
          <w:szCs w:val="32"/>
          <w:lang w:val="en-US" w:eastAsia="zh-CN"/>
        </w:rPr>
        <w:t>用地</w:t>
      </w:r>
      <w:r>
        <w:rPr>
          <w:rFonts w:hint="eastAsia" w:ascii="仿宋_GB2312" w:hAnsi="Arial" w:eastAsia="仿宋_GB2312"/>
          <w:color w:val="0000FF"/>
          <w:sz w:val="32"/>
          <w:szCs w:val="32"/>
        </w:rPr>
        <w:t>。</w:t>
      </w:r>
    </w:p>
    <w:p>
      <w:pPr>
        <w:keepNext w:val="0"/>
        <w:keepLines w:val="0"/>
        <w:pageBreakBefore w:val="0"/>
        <w:widowControl w:val="0"/>
        <w:kinsoku/>
        <w:wordWrap/>
        <w:overflowPunct/>
        <w:topLinePunct w:val="0"/>
        <w:autoSpaceDE/>
        <w:autoSpaceDN/>
        <w:bidi w:val="0"/>
        <w:adjustRightInd/>
        <w:snapToGrid/>
        <w:spacing w:line="336" w:lineRule="exact"/>
        <w:ind w:firstLine="643" w:firstLineChars="200"/>
        <w:jc w:val="both"/>
        <w:textAlignment w:val="auto"/>
        <w:rPr>
          <w:rFonts w:hint="eastAsia" w:ascii="仿宋_GB2312" w:hAnsi="Times New Roman" w:eastAsia="仿宋_GB2312" w:cs="Times New Roman"/>
          <w:b/>
          <w:bCs/>
          <w:color w:val="auto"/>
          <w:kern w:val="2"/>
          <w:sz w:val="32"/>
          <w:szCs w:val="32"/>
          <w:u w:val="none"/>
          <w:lang w:val="en-US" w:eastAsia="zh-CN"/>
        </w:rPr>
      </w:pPr>
      <w:r>
        <w:rPr>
          <w:rFonts w:hint="eastAsia" w:ascii="仿宋_GB2312" w:hAnsi="Times New Roman" w:eastAsia="仿宋_GB2312" w:cs="Times New Roman"/>
          <w:b/>
          <w:bCs/>
          <w:color w:val="auto"/>
          <w:kern w:val="2"/>
          <w:sz w:val="32"/>
          <w:szCs w:val="32"/>
          <w:u w:val="none"/>
          <w:lang w:val="en-US" w:eastAsia="zh-CN"/>
        </w:rPr>
        <w:t>三、位置范围</w:t>
      </w:r>
    </w:p>
    <w:p>
      <w:pPr>
        <w:keepNext w:val="0"/>
        <w:keepLines w:val="0"/>
        <w:pageBreakBefore w:val="0"/>
        <w:widowControl w:val="0"/>
        <w:kinsoku/>
        <w:wordWrap/>
        <w:overflowPunct/>
        <w:topLinePunct w:val="0"/>
        <w:autoSpaceDE/>
        <w:autoSpaceDN/>
        <w:bidi w:val="0"/>
        <w:adjustRightInd/>
        <w:snapToGrid/>
        <w:spacing w:line="336" w:lineRule="exact"/>
        <w:ind w:firstLine="640" w:firstLineChars="200"/>
        <w:jc w:val="both"/>
        <w:textAlignment w:val="auto"/>
        <w:rPr>
          <w:rFonts w:hint="eastAsia" w:ascii="仿宋_GB2312" w:hAnsi="Times New Roman" w:eastAsia="仿宋_GB2312" w:cs="Times New Roman"/>
          <w:color w:val="auto"/>
          <w:kern w:val="2"/>
          <w:sz w:val="32"/>
          <w:szCs w:val="32"/>
          <w:u w:val="none"/>
          <w:lang w:val="en-US" w:eastAsia="zh-CN"/>
        </w:rPr>
      </w:pPr>
      <w:r>
        <w:rPr>
          <w:rFonts w:hint="eastAsia" w:ascii="仿宋_GB2312" w:hAnsi="Times New Roman" w:eastAsia="仿宋_GB2312" w:cs="Times New Roman"/>
          <w:color w:val="auto"/>
          <w:kern w:val="2"/>
          <w:sz w:val="32"/>
          <w:szCs w:val="32"/>
          <w:lang w:val="en-US" w:eastAsia="zh-CN"/>
        </w:rPr>
        <w:t>鄱阳县</w:t>
      </w:r>
      <w:r>
        <w:rPr>
          <w:rFonts w:hint="eastAsia" w:ascii="仿宋_GB2312" w:eastAsia="仿宋_GB2312" w:cs="仿宋_GB2312"/>
          <w:spacing w:val="-6"/>
          <w:sz w:val="32"/>
          <w:szCs w:val="32"/>
          <w:lang w:val="en-US" w:eastAsia="zh-CN"/>
        </w:rPr>
        <w:t>G236国道挂线</w:t>
      </w:r>
      <w:r>
        <w:rPr>
          <w:rFonts w:hint="eastAsia" w:ascii="仿宋_GB2312" w:hAnsi="Times New Roman" w:eastAsia="仿宋_GB2312" w:cs="Times New Roman"/>
          <w:color w:val="auto"/>
          <w:kern w:val="2"/>
          <w:sz w:val="32"/>
          <w:szCs w:val="32"/>
          <w:lang w:val="en-US" w:eastAsia="zh-CN"/>
        </w:rPr>
        <w:t>建设项目用地</w:t>
      </w:r>
      <w:r>
        <w:rPr>
          <w:rFonts w:hint="eastAsia" w:ascii="仿宋_GB2312" w:hAnsi="Times New Roman" w:eastAsia="仿宋_GB2312" w:cs="Times New Roman"/>
          <w:color w:val="auto"/>
          <w:kern w:val="2"/>
          <w:sz w:val="32"/>
          <w:szCs w:val="32"/>
          <w:u w:val="none"/>
          <w:lang w:val="en-US" w:eastAsia="zh-CN"/>
        </w:rPr>
        <w:t>相关范围，</w:t>
      </w:r>
      <w:r>
        <w:rPr>
          <w:rFonts w:hint="eastAsia" w:ascii="仿宋_GB2312" w:hAnsi="Times New Roman" w:eastAsia="仿宋_GB2312" w:cs="Times New Roman"/>
          <w:color w:val="auto"/>
          <w:spacing w:val="-6"/>
          <w:kern w:val="2"/>
          <w:sz w:val="32"/>
          <w:szCs w:val="32"/>
          <w:lang w:val="en-US" w:eastAsia="zh-CN"/>
        </w:rPr>
        <w:t>鄱阳镇江家岭村一组、二组、三组、四组、五组、六组、七组，任家村东江组、东占组、余家咀组，芝田村葵花岭组、西占组、叶谷下组</w:t>
      </w:r>
      <w:r>
        <w:rPr>
          <w:rFonts w:hint="eastAsia" w:ascii="仿宋_GB2312" w:hAnsi="Times New Roman" w:eastAsia="仿宋_GB2312" w:cs="Times New Roman"/>
          <w:color w:val="0000FF"/>
          <w:kern w:val="2"/>
          <w:sz w:val="32"/>
          <w:szCs w:val="32"/>
          <w:u w:val="none"/>
          <w:lang w:val="en-US" w:eastAsia="zh-CN"/>
        </w:rPr>
        <w:t>的</w:t>
      </w:r>
      <w:r>
        <w:rPr>
          <w:rFonts w:hint="eastAsia" w:ascii="仿宋_GB2312" w:hAnsi="Times New Roman" w:eastAsia="仿宋_GB2312" w:cs="Times New Roman"/>
          <w:color w:val="auto"/>
          <w:kern w:val="2"/>
          <w:sz w:val="32"/>
          <w:szCs w:val="32"/>
          <w:u w:val="none"/>
          <w:lang w:val="en-US" w:eastAsia="zh-CN"/>
        </w:rPr>
        <w:t>土地，具体宗地四至详见征地范围红线图。</w:t>
      </w:r>
    </w:p>
    <w:p>
      <w:pPr>
        <w:keepNext w:val="0"/>
        <w:keepLines w:val="0"/>
        <w:pageBreakBefore w:val="0"/>
        <w:widowControl w:val="0"/>
        <w:kinsoku/>
        <w:wordWrap/>
        <w:overflowPunct/>
        <w:topLinePunct w:val="0"/>
        <w:autoSpaceDE/>
        <w:autoSpaceDN/>
        <w:bidi w:val="0"/>
        <w:adjustRightInd/>
        <w:snapToGrid/>
        <w:spacing w:line="336" w:lineRule="exact"/>
        <w:ind w:firstLine="643" w:firstLineChars="200"/>
        <w:jc w:val="both"/>
        <w:textAlignment w:val="auto"/>
        <w:rPr>
          <w:rFonts w:hint="eastAsia" w:ascii="仿宋_GB2312" w:hAnsi="Times New Roman" w:eastAsia="仿宋_GB2312" w:cs="Times New Roman"/>
          <w:b/>
          <w:bCs/>
          <w:color w:val="auto"/>
          <w:kern w:val="2"/>
          <w:sz w:val="32"/>
          <w:szCs w:val="32"/>
          <w:u w:val="none"/>
          <w:lang w:val="en-US" w:eastAsia="zh-CN"/>
        </w:rPr>
      </w:pPr>
      <w:r>
        <w:rPr>
          <w:rFonts w:hint="eastAsia" w:ascii="仿宋_GB2312" w:hAnsi="Times New Roman" w:eastAsia="仿宋_GB2312" w:cs="Times New Roman"/>
          <w:b/>
          <w:bCs/>
          <w:color w:val="auto"/>
          <w:kern w:val="2"/>
          <w:sz w:val="32"/>
          <w:szCs w:val="32"/>
          <w:u w:val="none"/>
          <w:lang w:val="en-US" w:eastAsia="zh-CN"/>
        </w:rPr>
        <w:t>四、被征地权属单位</w:t>
      </w:r>
    </w:p>
    <w:p>
      <w:pPr>
        <w:keepNext w:val="0"/>
        <w:keepLines w:val="0"/>
        <w:pageBreakBefore w:val="0"/>
        <w:widowControl w:val="0"/>
        <w:kinsoku/>
        <w:wordWrap/>
        <w:overflowPunct/>
        <w:topLinePunct w:val="0"/>
        <w:autoSpaceDE/>
        <w:autoSpaceDN/>
        <w:bidi w:val="0"/>
        <w:adjustRightInd/>
        <w:snapToGrid/>
        <w:spacing w:line="336" w:lineRule="exact"/>
        <w:ind w:firstLine="640" w:firstLineChars="200"/>
        <w:jc w:val="both"/>
        <w:textAlignment w:val="auto"/>
        <w:rPr>
          <w:rFonts w:hint="eastAsia" w:ascii="仿宋_GB2312" w:hAnsi="Times New Roman" w:eastAsia="仿宋_GB2312" w:cs="Times New Roman"/>
          <w:color w:val="auto"/>
          <w:kern w:val="2"/>
          <w:sz w:val="32"/>
          <w:szCs w:val="32"/>
          <w:u w:val="none"/>
          <w:lang w:val="en-US" w:eastAsia="zh-CN"/>
        </w:rPr>
      </w:pPr>
      <w:r>
        <w:rPr>
          <w:rFonts w:hint="eastAsia" w:ascii="仿宋_GB2312" w:hAnsi="Times New Roman" w:eastAsia="仿宋_GB2312" w:cs="Times New Roman"/>
          <w:color w:val="auto"/>
          <w:kern w:val="2"/>
          <w:sz w:val="32"/>
          <w:szCs w:val="32"/>
          <w:u w:val="none"/>
          <w:lang w:val="en-US" w:eastAsia="zh-CN"/>
        </w:rPr>
        <w:t>本次拟征收</w:t>
      </w:r>
      <w:r>
        <w:rPr>
          <w:rFonts w:hint="eastAsia" w:ascii="仿宋_GB2312" w:hAnsi="Times New Roman" w:eastAsia="仿宋_GB2312" w:cs="Times New Roman"/>
          <w:color w:val="auto"/>
          <w:spacing w:val="-6"/>
          <w:kern w:val="2"/>
          <w:sz w:val="32"/>
          <w:szCs w:val="32"/>
          <w:lang w:val="en-US" w:eastAsia="zh-CN"/>
        </w:rPr>
        <w:t>鄱阳镇江家岭村一组、二组、三组、四组、五组、六组、七组，任家村东江组、东占组、余家咀组，芝田村葵花岭组、西占组、叶谷下组</w:t>
      </w:r>
      <w:r>
        <w:rPr>
          <w:rFonts w:hint="eastAsia" w:ascii="仿宋_GB2312" w:hAnsi="Times New Roman" w:eastAsia="仿宋_GB2312" w:cs="Times New Roman"/>
          <w:color w:val="0000FF"/>
          <w:kern w:val="2"/>
          <w:sz w:val="32"/>
          <w:szCs w:val="32"/>
          <w:u w:val="none"/>
          <w:lang w:val="en-US" w:eastAsia="zh-CN"/>
        </w:rPr>
        <w:t>的</w:t>
      </w:r>
      <w:r>
        <w:rPr>
          <w:rFonts w:hint="eastAsia" w:ascii="仿宋_GB2312" w:hAnsi="Times New Roman" w:eastAsia="仿宋_GB2312" w:cs="Times New Roman"/>
          <w:color w:val="auto"/>
          <w:kern w:val="2"/>
          <w:sz w:val="32"/>
          <w:szCs w:val="32"/>
          <w:u w:val="none"/>
          <w:lang w:val="en-US" w:eastAsia="zh-CN"/>
        </w:rPr>
        <w:t>土地（最后以现场调查确认结果为准）。</w:t>
      </w:r>
    </w:p>
    <w:p>
      <w:pPr>
        <w:keepNext w:val="0"/>
        <w:keepLines w:val="0"/>
        <w:pageBreakBefore w:val="0"/>
        <w:widowControl w:val="0"/>
        <w:kinsoku/>
        <w:wordWrap/>
        <w:overflowPunct/>
        <w:topLinePunct w:val="0"/>
        <w:autoSpaceDE/>
        <w:autoSpaceDN/>
        <w:bidi w:val="0"/>
        <w:adjustRightInd/>
        <w:snapToGrid/>
        <w:spacing w:line="336" w:lineRule="exact"/>
        <w:ind w:firstLine="643" w:firstLineChars="200"/>
        <w:jc w:val="both"/>
        <w:textAlignment w:val="auto"/>
        <w:rPr>
          <w:rFonts w:hint="eastAsia" w:ascii="仿宋_GB2312" w:hAnsi="Times New Roman" w:eastAsia="仿宋_GB2312" w:cs="Times New Roman"/>
          <w:b/>
          <w:bCs/>
          <w:color w:val="auto"/>
          <w:kern w:val="2"/>
          <w:sz w:val="32"/>
          <w:szCs w:val="32"/>
          <w:u w:val="none"/>
          <w:lang w:val="en-US" w:eastAsia="zh-CN"/>
        </w:rPr>
      </w:pPr>
      <w:r>
        <w:rPr>
          <w:rFonts w:hint="eastAsia" w:ascii="仿宋_GB2312" w:hAnsi="Times New Roman" w:eastAsia="仿宋_GB2312" w:cs="Times New Roman"/>
          <w:b/>
          <w:bCs/>
          <w:color w:val="auto"/>
          <w:kern w:val="2"/>
          <w:sz w:val="32"/>
          <w:szCs w:val="32"/>
          <w:u w:val="none"/>
          <w:lang w:val="en-US" w:eastAsia="zh-CN"/>
        </w:rPr>
        <w:t>五、征地面积及主要地类</w:t>
      </w:r>
    </w:p>
    <w:p>
      <w:pPr>
        <w:keepNext w:val="0"/>
        <w:keepLines w:val="0"/>
        <w:pageBreakBefore w:val="0"/>
        <w:widowControl w:val="0"/>
        <w:kinsoku/>
        <w:wordWrap/>
        <w:overflowPunct/>
        <w:topLinePunct w:val="0"/>
        <w:autoSpaceDE/>
        <w:autoSpaceDN/>
        <w:bidi w:val="0"/>
        <w:adjustRightInd/>
        <w:snapToGrid/>
        <w:spacing w:line="336" w:lineRule="exact"/>
        <w:ind w:firstLine="640" w:firstLineChars="200"/>
        <w:jc w:val="both"/>
        <w:textAlignment w:val="auto"/>
        <w:rPr>
          <w:rFonts w:hint="eastAsia" w:ascii="仿宋_GB2312" w:hAnsi="Times New Roman" w:eastAsia="仿宋_GB2312" w:cs="Times New Roman"/>
          <w:color w:val="auto"/>
          <w:kern w:val="2"/>
          <w:sz w:val="32"/>
          <w:szCs w:val="32"/>
          <w:u w:val="none"/>
          <w:lang w:val="en-US" w:eastAsia="zh-CN"/>
        </w:rPr>
      </w:pPr>
      <w:r>
        <w:rPr>
          <w:rFonts w:hint="eastAsia" w:ascii="仿宋_GB2312" w:hAnsi="Times New Roman" w:eastAsia="仿宋_GB2312" w:cs="Times New Roman"/>
          <w:color w:val="auto"/>
          <w:kern w:val="2"/>
          <w:sz w:val="32"/>
          <w:szCs w:val="32"/>
          <w:u w:val="none"/>
          <w:lang w:val="en-US" w:eastAsia="zh-CN"/>
        </w:rPr>
        <w:t>总面积约</w:t>
      </w:r>
      <w:r>
        <w:rPr>
          <w:rFonts w:hint="eastAsia" w:ascii="仿宋_GB2312" w:hAnsi="Times New Roman" w:eastAsia="仿宋_GB2312" w:cs="Times New Roman"/>
          <w:color w:val="0000FF"/>
          <w:kern w:val="2"/>
          <w:sz w:val="32"/>
          <w:szCs w:val="32"/>
          <w:u w:val="none"/>
          <w:lang w:val="en-US" w:eastAsia="zh-CN"/>
        </w:rPr>
        <w:t>119.9085</w:t>
      </w:r>
      <w:r>
        <w:rPr>
          <w:rFonts w:hint="eastAsia" w:ascii="仿宋_GB2312" w:hAnsi="Times New Roman" w:eastAsia="仿宋_GB2312" w:cs="Times New Roman"/>
          <w:color w:val="auto"/>
          <w:kern w:val="2"/>
          <w:sz w:val="32"/>
          <w:szCs w:val="32"/>
          <w:u w:val="none"/>
          <w:lang w:val="en-US" w:eastAsia="zh-CN"/>
        </w:rPr>
        <w:t>亩(最后以现场调查确认结果为准)，主要地类有</w:t>
      </w:r>
      <w:bookmarkStart w:id="1" w:name="_GoBack"/>
      <w:bookmarkEnd w:id="1"/>
      <w:r>
        <w:rPr>
          <w:rFonts w:hint="eastAsia" w:ascii="仿宋_GB2312" w:hAnsi="Times New Roman" w:eastAsia="仿宋_GB2312" w:cs="Times New Roman"/>
          <w:color w:val="auto"/>
          <w:kern w:val="2"/>
          <w:sz w:val="32"/>
          <w:szCs w:val="32"/>
          <w:lang w:val="en-US" w:eastAsia="zh-CN"/>
        </w:rPr>
        <w:t>水田、旱地、林地、农村道路、沟渠、田坎、村庄、风景名胜及特殊用地</w:t>
      </w:r>
      <w:r>
        <w:rPr>
          <w:rFonts w:hint="eastAsia" w:ascii="仿宋_GB2312" w:hAnsi="Times New Roman" w:eastAsia="仿宋_GB2312" w:cs="Times New Roman"/>
          <w:color w:val="auto"/>
          <w:kern w:val="2"/>
          <w:sz w:val="32"/>
          <w:szCs w:val="32"/>
          <w:lang w:val="en-US"/>
        </w:rPr>
        <w:t>等</w:t>
      </w:r>
      <w:r>
        <w:rPr>
          <w:rFonts w:hint="eastAsia" w:ascii="仿宋_GB2312" w:hAnsi="Times New Roman" w:eastAsia="仿宋_GB2312" w:cs="Times New Roman"/>
          <w:color w:val="auto"/>
          <w:kern w:val="2"/>
          <w:sz w:val="32"/>
          <w:szCs w:val="32"/>
          <w:u w:val="none"/>
          <w:lang w:val="en-US" w:eastAsia="zh-CN"/>
        </w:rPr>
        <w:t>（最后以现场调查确认地类为准）。</w:t>
      </w:r>
    </w:p>
    <w:p>
      <w:pPr>
        <w:keepNext w:val="0"/>
        <w:keepLines w:val="0"/>
        <w:pageBreakBefore w:val="0"/>
        <w:widowControl w:val="0"/>
        <w:kinsoku/>
        <w:wordWrap/>
        <w:overflowPunct/>
        <w:topLinePunct w:val="0"/>
        <w:autoSpaceDE/>
        <w:autoSpaceDN/>
        <w:bidi w:val="0"/>
        <w:adjustRightInd/>
        <w:snapToGrid/>
        <w:spacing w:line="336" w:lineRule="exact"/>
        <w:ind w:firstLine="643" w:firstLineChars="200"/>
        <w:jc w:val="both"/>
        <w:textAlignment w:val="auto"/>
        <w:rPr>
          <w:rFonts w:hint="eastAsia" w:ascii="仿宋_GB2312" w:hAnsi="Times New Roman" w:eastAsia="仿宋_GB2312" w:cs="Times New Roman"/>
          <w:b/>
          <w:bCs/>
          <w:color w:val="auto"/>
          <w:kern w:val="2"/>
          <w:sz w:val="32"/>
          <w:szCs w:val="32"/>
          <w:u w:val="none"/>
          <w:lang w:val="en-US" w:eastAsia="zh-CN"/>
        </w:rPr>
      </w:pPr>
      <w:r>
        <w:rPr>
          <w:rFonts w:hint="eastAsia" w:ascii="仿宋_GB2312" w:hAnsi="Times New Roman" w:eastAsia="仿宋_GB2312" w:cs="Times New Roman"/>
          <w:b/>
          <w:bCs/>
          <w:color w:val="auto"/>
          <w:kern w:val="2"/>
          <w:sz w:val="32"/>
          <w:szCs w:val="32"/>
          <w:u w:val="none"/>
          <w:lang w:val="en-US" w:eastAsia="zh-CN"/>
        </w:rPr>
        <w:t>六、征地补偿标准</w:t>
      </w:r>
    </w:p>
    <w:p>
      <w:pPr>
        <w:keepNext w:val="0"/>
        <w:keepLines w:val="0"/>
        <w:pageBreakBefore w:val="0"/>
        <w:widowControl w:val="0"/>
        <w:kinsoku/>
        <w:wordWrap/>
        <w:overflowPunct/>
        <w:topLinePunct w:val="0"/>
        <w:autoSpaceDE/>
        <w:autoSpaceDN/>
        <w:bidi w:val="0"/>
        <w:adjustRightInd/>
        <w:snapToGrid/>
        <w:spacing w:line="336" w:lineRule="exact"/>
        <w:ind w:firstLine="640" w:firstLineChars="200"/>
        <w:jc w:val="both"/>
        <w:textAlignment w:val="auto"/>
        <w:rPr>
          <w:rFonts w:hint="eastAsia" w:ascii="仿宋_GB2312" w:hAnsi="Times New Roman" w:eastAsia="仿宋_GB2312" w:cs="Times New Roman"/>
          <w:color w:val="auto"/>
          <w:kern w:val="2"/>
          <w:sz w:val="32"/>
          <w:szCs w:val="32"/>
          <w:u w:val="none"/>
          <w:lang w:val="en-US" w:eastAsia="zh-CN"/>
        </w:rPr>
      </w:pPr>
      <w:r>
        <w:rPr>
          <w:rFonts w:hint="eastAsia" w:ascii="仿宋_GB2312" w:hAnsi="Times New Roman" w:eastAsia="仿宋_GB2312" w:cs="Times New Roman"/>
          <w:color w:val="auto"/>
          <w:kern w:val="2"/>
          <w:sz w:val="32"/>
          <w:szCs w:val="32"/>
          <w:u w:val="none"/>
          <w:lang w:val="en-US" w:eastAsia="zh-CN"/>
        </w:rPr>
        <w:t>征收土地补偿（土地补偿费、安置补助费）按照《江西省人民政府关于公布全省征地区片综合地价的通知》（赣府字</w:t>
      </w:r>
      <w:r>
        <w:rPr>
          <w:rFonts w:hint="eastAsia" w:ascii="仿宋_GB2312" w:hAnsi="Times New Roman" w:eastAsia="仿宋_GB2312" w:cs="Times New Roman"/>
          <w:color w:val="auto"/>
          <w:kern w:val="2"/>
          <w:sz w:val="32"/>
          <w:szCs w:val="32"/>
          <w:lang w:val="en-US" w:eastAsia="zh-CN"/>
        </w:rPr>
        <w:t>〔2020〕9</w:t>
      </w:r>
      <w:r>
        <w:rPr>
          <w:rFonts w:hint="eastAsia" w:ascii="仿宋_GB2312" w:hAnsi="Times New Roman" w:eastAsia="仿宋_GB2312" w:cs="Times New Roman"/>
          <w:color w:val="auto"/>
          <w:kern w:val="2"/>
          <w:sz w:val="32"/>
          <w:szCs w:val="32"/>
          <w:u w:val="none"/>
          <w:lang w:val="en-US" w:eastAsia="zh-CN"/>
        </w:rPr>
        <w:t>号）规定的标准执行，地类以现场实际确认登记为准。具体补偿情况如下：</w:t>
      </w:r>
    </w:p>
    <w:p>
      <w:pPr>
        <w:keepNext w:val="0"/>
        <w:keepLines w:val="0"/>
        <w:pageBreakBefore w:val="0"/>
        <w:widowControl w:val="0"/>
        <w:kinsoku/>
        <w:wordWrap/>
        <w:overflowPunct/>
        <w:topLinePunct w:val="0"/>
        <w:autoSpaceDE/>
        <w:autoSpaceDN/>
        <w:bidi w:val="0"/>
        <w:adjustRightInd/>
        <w:snapToGrid/>
        <w:spacing w:line="336" w:lineRule="exact"/>
        <w:ind w:firstLine="640" w:firstLineChars="200"/>
        <w:jc w:val="both"/>
        <w:textAlignment w:val="auto"/>
        <w:rPr>
          <w:rFonts w:hint="eastAsia" w:ascii="仿宋_GB2312" w:hAnsi="Times New Roman" w:eastAsia="仿宋_GB2312" w:cs="Times New Roman"/>
          <w:color w:val="auto"/>
          <w:kern w:val="2"/>
          <w:sz w:val="32"/>
          <w:szCs w:val="32"/>
          <w:u w:val="none"/>
          <w:lang w:val="en-US" w:eastAsia="zh-CN"/>
        </w:rPr>
      </w:pPr>
      <w:r>
        <w:rPr>
          <w:rFonts w:hint="eastAsia" w:ascii="仿宋_GB2312" w:hAnsi="Times New Roman" w:eastAsia="仿宋_GB2312" w:cs="Times New Roman"/>
          <w:color w:val="auto"/>
          <w:kern w:val="2"/>
          <w:sz w:val="32"/>
          <w:szCs w:val="32"/>
          <w:u w:val="none"/>
          <w:lang w:val="en-US" w:eastAsia="zh-CN"/>
        </w:rPr>
        <w:t>（一）耕地、园地、人工高产茶园、养殖坑塘、农村建设用地41000元/亩；</w:t>
      </w:r>
    </w:p>
    <w:p>
      <w:pPr>
        <w:keepNext w:val="0"/>
        <w:keepLines w:val="0"/>
        <w:pageBreakBefore w:val="0"/>
        <w:widowControl w:val="0"/>
        <w:kinsoku/>
        <w:wordWrap/>
        <w:overflowPunct/>
        <w:topLinePunct w:val="0"/>
        <w:autoSpaceDE/>
        <w:autoSpaceDN/>
        <w:bidi w:val="0"/>
        <w:adjustRightInd/>
        <w:snapToGrid/>
        <w:spacing w:line="336" w:lineRule="exact"/>
        <w:ind w:firstLine="640" w:firstLineChars="200"/>
        <w:jc w:val="both"/>
        <w:textAlignment w:val="auto"/>
        <w:rPr>
          <w:rFonts w:hint="eastAsia" w:ascii="仿宋_GB2312" w:hAnsi="Times New Roman" w:eastAsia="仿宋_GB2312" w:cs="Times New Roman"/>
          <w:color w:val="auto"/>
          <w:kern w:val="2"/>
          <w:sz w:val="32"/>
          <w:szCs w:val="32"/>
          <w:u w:val="none"/>
          <w:lang w:val="en-US" w:eastAsia="zh-CN"/>
        </w:rPr>
      </w:pPr>
      <w:r>
        <w:rPr>
          <w:rFonts w:hint="eastAsia" w:ascii="仿宋_GB2312" w:hAnsi="Times New Roman" w:eastAsia="仿宋_GB2312" w:cs="Times New Roman"/>
          <w:color w:val="auto"/>
          <w:kern w:val="2"/>
          <w:sz w:val="32"/>
          <w:szCs w:val="32"/>
          <w:u w:val="none"/>
          <w:lang w:val="en-US" w:eastAsia="zh-CN"/>
        </w:rPr>
        <w:t>（二）非耕地24300元/亩；</w:t>
      </w:r>
    </w:p>
    <w:p>
      <w:pPr>
        <w:keepNext w:val="0"/>
        <w:keepLines w:val="0"/>
        <w:pageBreakBefore w:val="0"/>
        <w:widowControl w:val="0"/>
        <w:kinsoku/>
        <w:wordWrap/>
        <w:overflowPunct/>
        <w:topLinePunct w:val="0"/>
        <w:autoSpaceDE/>
        <w:autoSpaceDN/>
        <w:bidi w:val="0"/>
        <w:adjustRightInd/>
        <w:snapToGrid/>
        <w:spacing w:line="336" w:lineRule="exact"/>
        <w:ind w:firstLine="640" w:firstLineChars="200"/>
        <w:jc w:val="both"/>
        <w:textAlignment w:val="auto"/>
        <w:rPr>
          <w:rFonts w:hint="eastAsia" w:ascii="仿宋_GB2312" w:hAnsi="Times New Roman" w:eastAsia="仿宋_GB2312" w:cs="Times New Roman"/>
          <w:color w:val="auto"/>
          <w:kern w:val="2"/>
          <w:sz w:val="32"/>
          <w:szCs w:val="32"/>
          <w:u w:val="none"/>
          <w:lang w:val="en-US" w:eastAsia="zh-CN"/>
        </w:rPr>
      </w:pPr>
      <w:r>
        <w:rPr>
          <w:rFonts w:hint="eastAsia" w:ascii="仿宋_GB2312" w:hAnsi="Times New Roman" w:eastAsia="仿宋_GB2312" w:cs="Times New Roman"/>
          <w:color w:val="auto"/>
          <w:kern w:val="2"/>
          <w:sz w:val="32"/>
          <w:szCs w:val="32"/>
          <w:u w:val="none"/>
          <w:lang w:val="en-US" w:eastAsia="zh-CN"/>
        </w:rPr>
        <w:t>（三）国有农用地补偿安置参照执行；</w:t>
      </w:r>
    </w:p>
    <w:p>
      <w:pPr>
        <w:keepNext w:val="0"/>
        <w:keepLines w:val="0"/>
        <w:pageBreakBefore w:val="0"/>
        <w:widowControl w:val="0"/>
        <w:kinsoku/>
        <w:wordWrap/>
        <w:overflowPunct/>
        <w:topLinePunct w:val="0"/>
        <w:autoSpaceDE/>
        <w:autoSpaceDN/>
        <w:bidi w:val="0"/>
        <w:adjustRightInd/>
        <w:snapToGrid/>
        <w:spacing w:line="336" w:lineRule="exact"/>
        <w:ind w:firstLine="640" w:firstLineChars="200"/>
        <w:jc w:val="both"/>
        <w:textAlignment w:val="auto"/>
        <w:rPr>
          <w:rFonts w:ascii="仿宋_GB2312" w:hAnsi="Times New Roman" w:eastAsia="仿宋_GB2312" w:cs="Times New Roman"/>
          <w:color w:val="auto"/>
          <w:kern w:val="2"/>
          <w:sz w:val="32"/>
          <w:szCs w:val="32"/>
          <w:lang w:val="en-US" w:eastAsia="zh-CN"/>
        </w:rPr>
      </w:pPr>
      <w:r>
        <w:rPr>
          <w:rFonts w:hint="eastAsia" w:ascii="仿宋_GB2312" w:hAnsi="Times New Roman" w:eastAsia="仿宋_GB2312" w:cs="Times New Roman"/>
          <w:color w:val="auto"/>
          <w:kern w:val="2"/>
          <w:sz w:val="32"/>
          <w:szCs w:val="32"/>
          <w:u w:val="none"/>
          <w:lang w:val="en-US" w:eastAsia="zh-CN"/>
        </w:rPr>
        <w:t>（四）其他补偿事项，均按鄱府字</w:t>
      </w:r>
      <w:r>
        <w:rPr>
          <w:rFonts w:hint="eastAsia" w:ascii="仿宋_GB2312" w:hAnsi="Times New Roman" w:eastAsia="仿宋_GB2312" w:cs="Times New Roman"/>
          <w:color w:val="auto"/>
          <w:kern w:val="2"/>
          <w:sz w:val="32"/>
          <w:szCs w:val="32"/>
          <w:lang w:val="en-US" w:eastAsia="zh-CN"/>
        </w:rPr>
        <w:t>〔2020〕9</w:t>
      </w:r>
      <w:r>
        <w:rPr>
          <w:rFonts w:hint="eastAsia" w:ascii="仿宋_GB2312" w:hAnsi="Times New Roman" w:eastAsia="仿宋_GB2312" w:cs="Times New Roman"/>
          <w:color w:val="auto"/>
          <w:kern w:val="2"/>
          <w:sz w:val="32"/>
          <w:szCs w:val="32"/>
          <w:u w:val="none"/>
          <w:lang w:val="en-US" w:eastAsia="zh-CN"/>
        </w:rPr>
        <w:t>号文件执行。</w:t>
      </w:r>
    </w:p>
    <w:p>
      <w:pPr>
        <w:keepNext w:val="0"/>
        <w:keepLines w:val="0"/>
        <w:pageBreakBefore w:val="0"/>
        <w:widowControl w:val="0"/>
        <w:kinsoku/>
        <w:wordWrap/>
        <w:overflowPunct/>
        <w:topLinePunct w:val="0"/>
        <w:autoSpaceDE/>
        <w:autoSpaceDN/>
        <w:bidi w:val="0"/>
        <w:adjustRightInd/>
        <w:snapToGrid/>
        <w:spacing w:line="336" w:lineRule="exact"/>
        <w:ind w:firstLine="643" w:firstLineChars="200"/>
        <w:jc w:val="both"/>
        <w:textAlignment w:val="auto"/>
        <w:rPr>
          <w:rFonts w:hint="eastAsia" w:ascii="仿宋_GB2312" w:hAnsi="Times New Roman" w:eastAsia="仿宋_GB2312" w:cs="Times New Roman"/>
          <w:b/>
          <w:bCs/>
          <w:color w:val="auto"/>
          <w:kern w:val="2"/>
          <w:sz w:val="32"/>
          <w:szCs w:val="32"/>
          <w:u w:val="none"/>
          <w:lang w:val="en-US" w:eastAsia="zh-CN"/>
        </w:rPr>
      </w:pPr>
      <w:r>
        <w:rPr>
          <w:rFonts w:hint="eastAsia" w:ascii="仿宋_GB2312" w:hAnsi="Times New Roman" w:eastAsia="仿宋_GB2312" w:cs="Times New Roman"/>
          <w:b/>
          <w:bCs/>
          <w:color w:val="auto"/>
          <w:kern w:val="2"/>
          <w:sz w:val="32"/>
          <w:szCs w:val="32"/>
          <w:u w:val="none"/>
          <w:lang w:val="en-US" w:eastAsia="zh-CN"/>
        </w:rPr>
        <w:t>七、青苗及地上附着物等补偿标准</w:t>
      </w:r>
    </w:p>
    <w:p>
      <w:pPr>
        <w:keepNext w:val="0"/>
        <w:keepLines w:val="0"/>
        <w:pageBreakBefore w:val="0"/>
        <w:widowControl w:val="0"/>
        <w:kinsoku/>
        <w:wordWrap/>
        <w:overflowPunct/>
        <w:topLinePunct w:val="0"/>
        <w:autoSpaceDE/>
        <w:autoSpaceDN/>
        <w:bidi w:val="0"/>
        <w:adjustRightInd/>
        <w:snapToGrid/>
        <w:spacing w:line="336" w:lineRule="exact"/>
        <w:ind w:firstLine="616" w:firstLineChars="200"/>
        <w:jc w:val="both"/>
        <w:textAlignment w:val="auto"/>
        <w:rPr>
          <w:rFonts w:hint="eastAsia" w:ascii="仿宋_GB2312" w:hAnsi="Times New Roman" w:eastAsia="仿宋_GB2312" w:cs="Times New Roman"/>
          <w:color w:val="auto"/>
          <w:spacing w:val="-6"/>
          <w:kern w:val="2"/>
          <w:sz w:val="32"/>
          <w:szCs w:val="32"/>
          <w:u w:val="none"/>
          <w:lang w:val="en-US" w:eastAsia="zh-CN"/>
        </w:rPr>
      </w:pPr>
      <w:r>
        <w:rPr>
          <w:rFonts w:hint="eastAsia" w:ascii="仿宋_GB2312" w:hAnsi="Times New Roman" w:eastAsia="仿宋_GB2312" w:cs="Times New Roman"/>
          <w:color w:val="auto"/>
          <w:spacing w:val="-6"/>
          <w:kern w:val="2"/>
          <w:sz w:val="32"/>
          <w:szCs w:val="32"/>
          <w:u w:val="none"/>
          <w:lang w:val="en-US" w:eastAsia="zh-CN"/>
        </w:rPr>
        <w:t>按照鄱府字〔2015〕112号文件规定的标准执行。具体补偿标准如下：</w:t>
      </w:r>
    </w:p>
    <w:p>
      <w:pPr>
        <w:keepNext w:val="0"/>
        <w:keepLines w:val="0"/>
        <w:pageBreakBefore w:val="0"/>
        <w:widowControl w:val="0"/>
        <w:kinsoku/>
        <w:wordWrap/>
        <w:overflowPunct/>
        <w:topLinePunct w:val="0"/>
        <w:autoSpaceDE/>
        <w:autoSpaceDN/>
        <w:bidi w:val="0"/>
        <w:adjustRightInd/>
        <w:snapToGrid/>
        <w:spacing w:line="336" w:lineRule="exact"/>
        <w:ind w:firstLine="640" w:firstLineChars="200"/>
        <w:jc w:val="both"/>
        <w:textAlignment w:val="auto"/>
        <w:rPr>
          <w:rFonts w:hint="default" w:ascii="仿宋_GB2312" w:hAnsi="Times New Roman" w:eastAsia="仿宋_GB2312" w:cs="Times New Roman"/>
          <w:color w:val="auto"/>
          <w:kern w:val="2"/>
          <w:sz w:val="32"/>
          <w:szCs w:val="32"/>
          <w:u w:val="none"/>
          <w:lang w:val="en-US" w:eastAsia="zh-CN"/>
        </w:rPr>
      </w:pPr>
      <w:r>
        <w:rPr>
          <w:rFonts w:hint="eastAsia" w:ascii="仿宋_GB2312" w:hAnsi="Times New Roman" w:eastAsia="仿宋_GB2312" w:cs="Times New Roman"/>
          <w:color w:val="auto"/>
          <w:kern w:val="2"/>
          <w:sz w:val="32"/>
          <w:szCs w:val="32"/>
          <w:u w:val="none"/>
          <w:lang w:val="en-US" w:eastAsia="zh-CN"/>
        </w:rPr>
        <w:t>（一）青苗补偿费：每亩1200元；</w:t>
      </w:r>
    </w:p>
    <w:p>
      <w:pPr>
        <w:keepNext w:val="0"/>
        <w:keepLines w:val="0"/>
        <w:pageBreakBefore w:val="0"/>
        <w:widowControl w:val="0"/>
        <w:kinsoku/>
        <w:wordWrap/>
        <w:overflowPunct/>
        <w:topLinePunct w:val="0"/>
        <w:autoSpaceDE/>
        <w:autoSpaceDN/>
        <w:bidi w:val="0"/>
        <w:adjustRightInd/>
        <w:snapToGrid/>
        <w:spacing w:line="336" w:lineRule="exact"/>
        <w:ind w:firstLine="640" w:firstLineChars="200"/>
        <w:jc w:val="both"/>
        <w:textAlignment w:val="auto"/>
        <w:rPr>
          <w:rFonts w:hint="default" w:ascii="仿宋_GB2312" w:hAnsi="Times New Roman" w:eastAsia="仿宋_GB2312" w:cs="Times New Roman"/>
          <w:color w:val="auto"/>
          <w:kern w:val="2"/>
          <w:sz w:val="32"/>
          <w:szCs w:val="32"/>
          <w:u w:val="none"/>
          <w:lang w:val="en-US" w:eastAsia="zh-CN"/>
        </w:rPr>
      </w:pPr>
      <w:r>
        <w:rPr>
          <w:rFonts w:hint="eastAsia" w:ascii="仿宋_GB2312" w:hAnsi="Times New Roman" w:eastAsia="仿宋_GB2312" w:cs="Times New Roman"/>
          <w:color w:val="auto"/>
          <w:kern w:val="2"/>
          <w:sz w:val="32"/>
          <w:szCs w:val="32"/>
          <w:u w:val="none"/>
          <w:lang w:val="en-US" w:eastAsia="zh-CN"/>
        </w:rPr>
        <w:t>（二）迁坟费：每穴2000元；</w:t>
      </w:r>
    </w:p>
    <w:p>
      <w:pPr>
        <w:keepNext w:val="0"/>
        <w:keepLines w:val="0"/>
        <w:pageBreakBefore w:val="0"/>
        <w:widowControl w:val="0"/>
        <w:kinsoku/>
        <w:wordWrap/>
        <w:overflowPunct/>
        <w:topLinePunct w:val="0"/>
        <w:autoSpaceDE/>
        <w:autoSpaceDN/>
        <w:bidi w:val="0"/>
        <w:adjustRightInd/>
        <w:snapToGrid/>
        <w:spacing w:line="336" w:lineRule="exact"/>
        <w:ind w:firstLine="640" w:firstLineChars="200"/>
        <w:jc w:val="both"/>
        <w:textAlignment w:val="auto"/>
        <w:rPr>
          <w:rFonts w:hint="default" w:ascii="仿宋_GB2312" w:hAnsi="Times New Roman" w:eastAsia="仿宋_GB2312" w:cs="Times New Roman"/>
          <w:color w:val="auto"/>
          <w:spacing w:val="-28"/>
          <w:kern w:val="2"/>
          <w:sz w:val="32"/>
          <w:szCs w:val="32"/>
          <w:u w:val="none"/>
          <w:lang w:val="en-US" w:eastAsia="zh-CN"/>
        </w:rPr>
      </w:pPr>
      <w:r>
        <w:rPr>
          <w:rFonts w:hint="eastAsia" w:ascii="仿宋_GB2312" w:hAnsi="Times New Roman" w:eastAsia="仿宋_GB2312" w:cs="Times New Roman"/>
          <w:color w:val="auto"/>
          <w:kern w:val="2"/>
          <w:sz w:val="32"/>
          <w:szCs w:val="32"/>
          <w:u w:val="none"/>
          <w:lang w:val="en-US" w:eastAsia="zh-CN"/>
        </w:rPr>
        <w:t>（三）</w:t>
      </w:r>
      <w:r>
        <w:rPr>
          <w:rFonts w:hint="eastAsia" w:ascii="仿宋_GB2312" w:hAnsi="Times New Roman" w:eastAsia="仿宋_GB2312" w:cs="Times New Roman"/>
          <w:color w:val="auto"/>
          <w:spacing w:val="-28"/>
          <w:kern w:val="2"/>
          <w:sz w:val="32"/>
          <w:szCs w:val="32"/>
          <w:u w:val="none"/>
          <w:lang w:val="en-US" w:eastAsia="zh-CN"/>
        </w:rPr>
        <w:t>零星果木：盛果期每棵100元，初果期每棵50元，未果期每棵30元；</w:t>
      </w:r>
    </w:p>
    <w:p>
      <w:pPr>
        <w:keepNext w:val="0"/>
        <w:keepLines w:val="0"/>
        <w:pageBreakBefore w:val="0"/>
        <w:widowControl w:val="0"/>
        <w:kinsoku/>
        <w:wordWrap/>
        <w:overflowPunct/>
        <w:topLinePunct w:val="0"/>
        <w:autoSpaceDE/>
        <w:autoSpaceDN/>
        <w:bidi w:val="0"/>
        <w:adjustRightInd/>
        <w:snapToGrid/>
        <w:spacing w:line="336" w:lineRule="exact"/>
        <w:ind w:firstLine="640" w:firstLineChars="200"/>
        <w:jc w:val="both"/>
        <w:textAlignment w:val="auto"/>
        <w:rPr>
          <w:rFonts w:hint="default" w:ascii="仿宋_GB2312" w:hAnsi="Times New Roman" w:eastAsia="仿宋_GB2312" w:cs="Times New Roman"/>
          <w:color w:val="auto"/>
          <w:kern w:val="2"/>
          <w:sz w:val="32"/>
          <w:szCs w:val="32"/>
          <w:u w:val="none"/>
          <w:lang w:val="en-US" w:eastAsia="zh-CN"/>
        </w:rPr>
      </w:pPr>
      <w:r>
        <w:rPr>
          <w:rFonts w:hint="eastAsia" w:ascii="仿宋_GB2312" w:hAnsi="Times New Roman" w:eastAsia="仿宋_GB2312" w:cs="Times New Roman"/>
          <w:color w:val="auto"/>
          <w:kern w:val="2"/>
          <w:sz w:val="32"/>
          <w:szCs w:val="32"/>
          <w:u w:val="none"/>
          <w:lang w:val="en-US" w:eastAsia="zh-CN"/>
        </w:rPr>
        <w:t>（四）零星松杂木：每棵15元（中）、每棵30元（大）；</w:t>
      </w:r>
    </w:p>
    <w:p>
      <w:pPr>
        <w:keepNext w:val="0"/>
        <w:keepLines w:val="0"/>
        <w:pageBreakBefore w:val="0"/>
        <w:widowControl w:val="0"/>
        <w:kinsoku/>
        <w:wordWrap/>
        <w:overflowPunct/>
        <w:topLinePunct w:val="0"/>
        <w:autoSpaceDE/>
        <w:autoSpaceDN/>
        <w:bidi w:val="0"/>
        <w:adjustRightInd/>
        <w:snapToGrid/>
        <w:spacing w:line="336" w:lineRule="exact"/>
        <w:ind w:firstLine="640" w:firstLineChars="200"/>
        <w:jc w:val="both"/>
        <w:textAlignment w:val="auto"/>
        <w:rPr>
          <w:rFonts w:hint="default" w:ascii="仿宋_GB2312" w:hAnsi="Times New Roman" w:eastAsia="仿宋_GB2312" w:cs="Times New Roman"/>
          <w:color w:val="auto"/>
          <w:kern w:val="2"/>
          <w:sz w:val="32"/>
          <w:szCs w:val="32"/>
          <w:u w:val="none"/>
          <w:lang w:val="en-US" w:eastAsia="zh-CN"/>
        </w:rPr>
      </w:pPr>
      <w:r>
        <w:rPr>
          <w:rFonts w:hint="eastAsia" w:ascii="仿宋_GB2312" w:hAnsi="Times New Roman" w:eastAsia="仿宋_GB2312" w:cs="Times New Roman"/>
          <w:color w:val="auto"/>
          <w:kern w:val="2"/>
          <w:sz w:val="32"/>
          <w:szCs w:val="32"/>
          <w:u w:val="none"/>
          <w:lang w:val="en-US" w:eastAsia="zh-CN"/>
        </w:rPr>
        <w:t>（五）零星杉树、茶籽树、茶叶树比松杂木增加一倍；</w:t>
      </w:r>
    </w:p>
    <w:p>
      <w:pPr>
        <w:keepNext w:val="0"/>
        <w:keepLines w:val="0"/>
        <w:pageBreakBefore w:val="0"/>
        <w:widowControl w:val="0"/>
        <w:kinsoku/>
        <w:wordWrap/>
        <w:overflowPunct/>
        <w:topLinePunct w:val="0"/>
        <w:autoSpaceDE/>
        <w:autoSpaceDN/>
        <w:bidi w:val="0"/>
        <w:adjustRightInd/>
        <w:snapToGrid/>
        <w:spacing w:line="336" w:lineRule="exact"/>
        <w:ind w:firstLine="640" w:firstLineChars="200"/>
        <w:jc w:val="both"/>
        <w:textAlignment w:val="auto"/>
        <w:rPr>
          <w:rFonts w:hint="default" w:ascii="仿宋_GB2312" w:hAnsi="Times New Roman" w:eastAsia="仿宋_GB2312" w:cs="Times New Roman"/>
          <w:color w:val="auto"/>
          <w:kern w:val="2"/>
          <w:sz w:val="32"/>
          <w:szCs w:val="32"/>
          <w:u w:val="none"/>
          <w:lang w:val="en-US" w:eastAsia="zh-CN"/>
        </w:rPr>
      </w:pPr>
      <w:r>
        <w:rPr>
          <w:rFonts w:hint="eastAsia" w:ascii="仿宋_GB2312" w:hAnsi="Times New Roman" w:eastAsia="仿宋_GB2312" w:cs="Times New Roman"/>
          <w:color w:val="auto"/>
          <w:kern w:val="2"/>
          <w:sz w:val="32"/>
          <w:szCs w:val="32"/>
          <w:u w:val="none"/>
          <w:lang w:val="en-US" w:eastAsia="zh-CN"/>
        </w:rPr>
        <w:t>（六）种植或养殖了经济价值较高的林木、果木和水产品种等特殊情况的，由县自然资源局按规定招标有关中介机构进行评估，经县财政局、项目指挥部、自然资源局、林业局等有关部门审核后，报县政府批准后予以补偿；</w:t>
      </w:r>
    </w:p>
    <w:p>
      <w:pPr>
        <w:keepNext w:val="0"/>
        <w:keepLines w:val="0"/>
        <w:pageBreakBefore w:val="0"/>
        <w:widowControl w:val="0"/>
        <w:kinsoku/>
        <w:wordWrap/>
        <w:overflowPunct/>
        <w:topLinePunct w:val="0"/>
        <w:autoSpaceDE/>
        <w:autoSpaceDN/>
        <w:bidi w:val="0"/>
        <w:adjustRightInd/>
        <w:snapToGrid/>
        <w:spacing w:line="336" w:lineRule="exact"/>
        <w:ind w:firstLine="640" w:firstLineChars="200"/>
        <w:jc w:val="both"/>
        <w:textAlignment w:val="auto"/>
        <w:rPr>
          <w:rFonts w:hint="eastAsia" w:ascii="仿宋_GB2312" w:hAnsi="Times New Roman" w:eastAsia="仿宋_GB2312" w:cs="Times New Roman"/>
          <w:color w:val="auto"/>
          <w:kern w:val="2"/>
          <w:sz w:val="32"/>
          <w:szCs w:val="32"/>
          <w:u w:val="none"/>
          <w:lang w:val="en-US" w:eastAsia="zh-CN"/>
        </w:rPr>
      </w:pPr>
      <w:r>
        <w:rPr>
          <w:rFonts w:hint="eastAsia" w:ascii="仿宋_GB2312" w:hAnsi="Times New Roman" w:eastAsia="仿宋_GB2312" w:cs="Times New Roman"/>
          <w:color w:val="auto"/>
          <w:kern w:val="2"/>
          <w:sz w:val="32"/>
          <w:szCs w:val="32"/>
          <w:u w:val="none"/>
          <w:lang w:val="en-US" w:eastAsia="zh-CN"/>
        </w:rPr>
        <w:t>（七）电力、电讯杆线迁移补偿价格与各相关产权单位协商确定。</w:t>
      </w:r>
    </w:p>
    <w:p>
      <w:pPr>
        <w:keepNext w:val="0"/>
        <w:keepLines w:val="0"/>
        <w:pageBreakBefore w:val="0"/>
        <w:widowControl w:val="0"/>
        <w:kinsoku/>
        <w:wordWrap/>
        <w:overflowPunct/>
        <w:topLinePunct w:val="0"/>
        <w:autoSpaceDE/>
        <w:autoSpaceDN/>
        <w:bidi w:val="0"/>
        <w:adjustRightInd/>
        <w:snapToGrid/>
        <w:spacing w:line="336" w:lineRule="exact"/>
        <w:ind w:firstLine="643" w:firstLineChars="200"/>
        <w:jc w:val="both"/>
        <w:textAlignment w:val="auto"/>
        <w:rPr>
          <w:rFonts w:hint="eastAsia" w:ascii="仿宋_GB2312" w:hAnsi="Times New Roman" w:eastAsia="仿宋_GB2312" w:cs="Times New Roman"/>
          <w:b/>
          <w:bCs/>
          <w:color w:val="auto"/>
          <w:kern w:val="2"/>
          <w:sz w:val="32"/>
          <w:szCs w:val="32"/>
          <w:u w:val="none"/>
          <w:lang w:val="en-US" w:eastAsia="zh-CN"/>
        </w:rPr>
      </w:pPr>
      <w:r>
        <w:rPr>
          <w:rFonts w:hint="eastAsia" w:ascii="仿宋_GB2312" w:hAnsi="Times New Roman" w:eastAsia="仿宋_GB2312" w:cs="Times New Roman"/>
          <w:b/>
          <w:bCs/>
          <w:color w:val="auto"/>
          <w:kern w:val="2"/>
          <w:sz w:val="32"/>
          <w:szCs w:val="32"/>
          <w:u w:val="none"/>
          <w:lang w:val="en-US" w:eastAsia="zh-CN"/>
        </w:rPr>
        <w:t>八、安置政策</w:t>
      </w:r>
    </w:p>
    <w:p>
      <w:pPr>
        <w:keepNext w:val="0"/>
        <w:keepLines w:val="0"/>
        <w:pageBreakBefore w:val="0"/>
        <w:widowControl w:val="0"/>
        <w:kinsoku/>
        <w:wordWrap/>
        <w:overflowPunct/>
        <w:topLinePunct w:val="0"/>
        <w:autoSpaceDE/>
        <w:autoSpaceDN/>
        <w:bidi w:val="0"/>
        <w:adjustRightInd/>
        <w:snapToGrid/>
        <w:spacing w:line="336" w:lineRule="exact"/>
        <w:ind w:firstLine="640" w:firstLineChars="200"/>
        <w:jc w:val="both"/>
        <w:textAlignment w:val="auto"/>
        <w:rPr>
          <w:rFonts w:hint="eastAsia" w:ascii="仿宋_GB2312" w:hAnsi="Times New Roman" w:eastAsia="仿宋_GB2312" w:cs="Times New Roman"/>
          <w:color w:val="auto"/>
          <w:kern w:val="2"/>
          <w:sz w:val="32"/>
          <w:szCs w:val="32"/>
          <w:u w:val="none"/>
          <w:lang w:val="en-US" w:eastAsia="zh-CN"/>
        </w:rPr>
      </w:pPr>
      <w:r>
        <w:rPr>
          <w:rFonts w:hint="eastAsia" w:ascii="仿宋_GB2312" w:hAnsi="Times New Roman" w:eastAsia="仿宋_GB2312" w:cs="Times New Roman"/>
          <w:color w:val="auto"/>
          <w:kern w:val="2"/>
          <w:sz w:val="32"/>
          <w:szCs w:val="32"/>
          <w:u w:val="none"/>
          <w:lang w:val="en-US" w:eastAsia="zh-CN"/>
        </w:rPr>
        <w:t>安置途径采取货币、社保的方式安置。</w:t>
      </w:r>
    </w:p>
    <w:p>
      <w:pPr>
        <w:keepNext w:val="0"/>
        <w:keepLines w:val="0"/>
        <w:pageBreakBefore w:val="0"/>
        <w:widowControl w:val="0"/>
        <w:kinsoku/>
        <w:wordWrap/>
        <w:overflowPunct/>
        <w:topLinePunct w:val="0"/>
        <w:autoSpaceDE/>
        <w:autoSpaceDN/>
        <w:bidi w:val="0"/>
        <w:adjustRightInd/>
        <w:snapToGrid/>
        <w:spacing w:line="336" w:lineRule="exact"/>
        <w:ind w:firstLine="640" w:firstLineChars="200"/>
        <w:jc w:val="both"/>
        <w:textAlignment w:val="auto"/>
        <w:rPr>
          <w:rFonts w:hint="eastAsia" w:ascii="仿宋_GB2312" w:hAnsi="Times New Roman" w:eastAsia="仿宋_GB2312" w:cs="Times New Roman"/>
          <w:color w:val="auto"/>
          <w:kern w:val="2"/>
          <w:sz w:val="32"/>
          <w:szCs w:val="32"/>
          <w:u w:val="none"/>
          <w:lang w:val="en-US" w:eastAsia="zh-CN"/>
        </w:rPr>
      </w:pPr>
      <w:r>
        <w:rPr>
          <w:rFonts w:hint="eastAsia" w:ascii="仿宋_GB2312" w:hAnsi="Times New Roman" w:eastAsia="仿宋_GB2312" w:cs="Times New Roman"/>
          <w:color w:val="auto"/>
          <w:kern w:val="2"/>
          <w:sz w:val="32"/>
          <w:szCs w:val="32"/>
          <w:u w:val="none"/>
          <w:lang w:val="en-US" w:eastAsia="zh-CN"/>
        </w:rPr>
        <w:t>根据省政府办公厅转发省人社厅《关于进一步完善被征地农民基本养老保险政策意见的通知》（赣府厅发〔2014〕12号）和《江西省人民政府关于公布全省征地区片综合地价的通知》（赣府字〔2020〕9号）《关于印发上饶市被征地农民基本养老保险实施办法的通知》（饶府厅发〔2015〕4号）等文件精神，拟按8000元/亩的标准预存社保资金，用地报批前存入县社保局社保资金专户。用地批准后，由当地劳动保障部门按有关规定要求将符合条件的被征地农民纳入社会保障体系。</w:t>
      </w:r>
    </w:p>
    <w:p>
      <w:pPr>
        <w:keepNext w:val="0"/>
        <w:keepLines w:val="0"/>
        <w:pageBreakBefore w:val="0"/>
        <w:widowControl w:val="0"/>
        <w:kinsoku/>
        <w:wordWrap/>
        <w:overflowPunct/>
        <w:topLinePunct w:val="0"/>
        <w:autoSpaceDE/>
        <w:autoSpaceDN/>
        <w:bidi w:val="0"/>
        <w:adjustRightInd/>
        <w:snapToGrid/>
        <w:spacing w:line="336" w:lineRule="exact"/>
        <w:ind w:firstLine="643" w:firstLineChars="200"/>
        <w:jc w:val="both"/>
        <w:textAlignment w:val="auto"/>
        <w:rPr>
          <w:rFonts w:hint="eastAsia" w:ascii="仿宋_GB2312" w:hAnsi="Times New Roman" w:eastAsia="仿宋_GB2312" w:cs="Times New Roman"/>
          <w:b/>
          <w:bCs/>
          <w:color w:val="auto"/>
          <w:kern w:val="2"/>
          <w:sz w:val="32"/>
          <w:szCs w:val="32"/>
          <w:u w:val="none"/>
          <w:lang w:val="en-US" w:eastAsia="zh-CN"/>
        </w:rPr>
      </w:pPr>
      <w:r>
        <w:rPr>
          <w:rFonts w:hint="eastAsia" w:ascii="仿宋_GB2312" w:hAnsi="Times New Roman" w:eastAsia="仿宋_GB2312" w:cs="Times New Roman"/>
          <w:b/>
          <w:bCs/>
          <w:color w:val="auto"/>
          <w:kern w:val="2"/>
          <w:sz w:val="32"/>
          <w:szCs w:val="32"/>
          <w:u w:val="none"/>
          <w:lang w:val="en-US" w:eastAsia="zh-CN"/>
        </w:rPr>
        <w:t>九、公告期限</w:t>
      </w:r>
    </w:p>
    <w:p>
      <w:pPr>
        <w:keepNext w:val="0"/>
        <w:keepLines w:val="0"/>
        <w:pageBreakBefore w:val="0"/>
        <w:widowControl w:val="0"/>
        <w:kinsoku/>
        <w:wordWrap/>
        <w:overflowPunct/>
        <w:topLinePunct w:val="0"/>
        <w:autoSpaceDE/>
        <w:autoSpaceDN/>
        <w:bidi w:val="0"/>
        <w:adjustRightInd/>
        <w:snapToGrid/>
        <w:spacing w:line="336" w:lineRule="exact"/>
        <w:ind w:firstLine="640" w:firstLineChars="200"/>
        <w:jc w:val="both"/>
        <w:textAlignment w:val="auto"/>
        <w:rPr>
          <w:rFonts w:hint="eastAsia" w:ascii="仿宋_GB2312" w:hAnsi="Times New Roman" w:eastAsia="仿宋_GB2312" w:cs="Times New Roman"/>
          <w:color w:val="auto"/>
          <w:kern w:val="2"/>
          <w:sz w:val="32"/>
          <w:szCs w:val="32"/>
          <w:u w:val="none"/>
          <w:lang w:val="en-US" w:eastAsia="zh-CN"/>
        </w:rPr>
      </w:pPr>
      <w:r>
        <w:rPr>
          <w:rFonts w:hint="eastAsia" w:ascii="仿宋_GB2312" w:hAnsi="Times New Roman" w:eastAsia="仿宋_GB2312" w:cs="Times New Roman"/>
          <w:color w:val="auto"/>
          <w:kern w:val="2"/>
          <w:sz w:val="32"/>
          <w:szCs w:val="32"/>
          <w:u w:val="none"/>
          <w:lang w:val="en-US" w:eastAsia="zh-CN"/>
        </w:rPr>
        <w:t>本告知期限自</w:t>
      </w:r>
      <w:r>
        <w:rPr>
          <w:rFonts w:hint="eastAsia" w:ascii="仿宋_GB2312" w:hAnsi="Times New Roman" w:eastAsia="仿宋_GB2312" w:cs="Times New Roman"/>
          <w:color w:val="0000FF"/>
          <w:kern w:val="2"/>
          <w:sz w:val="32"/>
          <w:szCs w:val="32"/>
          <w:u w:val="none"/>
          <w:lang w:val="en-US" w:eastAsia="zh-CN"/>
        </w:rPr>
        <w:t>2022年7月4日至2022年7月18日</w:t>
      </w:r>
      <w:r>
        <w:rPr>
          <w:rFonts w:hint="eastAsia" w:ascii="仿宋_GB2312" w:hAnsi="Times New Roman" w:eastAsia="仿宋_GB2312" w:cs="Times New Roman"/>
          <w:color w:val="auto"/>
          <w:kern w:val="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336" w:lineRule="exact"/>
        <w:ind w:firstLine="643" w:firstLineChars="200"/>
        <w:jc w:val="both"/>
        <w:textAlignment w:val="auto"/>
        <w:rPr>
          <w:rFonts w:hint="eastAsia" w:ascii="仿宋_GB2312" w:hAnsi="Times New Roman" w:eastAsia="仿宋_GB2312" w:cs="Times New Roman"/>
          <w:color w:val="auto"/>
          <w:kern w:val="2"/>
          <w:sz w:val="32"/>
          <w:szCs w:val="32"/>
          <w:u w:val="none"/>
          <w:lang w:val="en-US" w:eastAsia="zh-CN"/>
        </w:rPr>
      </w:pPr>
      <w:r>
        <w:rPr>
          <w:rFonts w:hint="eastAsia" w:ascii="仿宋_GB2312" w:hAnsi="Times New Roman" w:eastAsia="仿宋_GB2312" w:cs="Times New Roman"/>
          <w:b/>
          <w:bCs/>
          <w:color w:val="auto"/>
          <w:kern w:val="2"/>
          <w:sz w:val="32"/>
          <w:szCs w:val="32"/>
          <w:u w:val="none"/>
          <w:lang w:val="en-US" w:eastAsia="zh-CN"/>
        </w:rPr>
        <w:t>十、补偿登记</w:t>
      </w:r>
    </w:p>
    <w:p>
      <w:pPr>
        <w:keepNext w:val="0"/>
        <w:keepLines w:val="0"/>
        <w:pageBreakBefore w:val="0"/>
        <w:widowControl w:val="0"/>
        <w:kinsoku/>
        <w:wordWrap/>
        <w:overflowPunct/>
        <w:topLinePunct w:val="0"/>
        <w:autoSpaceDE/>
        <w:autoSpaceDN/>
        <w:bidi w:val="0"/>
        <w:adjustRightInd/>
        <w:snapToGrid/>
        <w:spacing w:line="336" w:lineRule="exact"/>
        <w:ind w:firstLine="640" w:firstLineChars="200"/>
        <w:jc w:val="both"/>
        <w:textAlignment w:val="auto"/>
        <w:rPr>
          <w:rFonts w:hint="eastAsia" w:ascii="仿宋_GB2312" w:hAnsi="Times New Roman" w:eastAsia="仿宋_GB2312" w:cs="Times New Roman"/>
          <w:color w:val="auto"/>
          <w:kern w:val="2"/>
          <w:sz w:val="32"/>
          <w:szCs w:val="32"/>
          <w:u w:val="none"/>
          <w:lang w:val="en-US" w:eastAsia="zh-CN"/>
        </w:rPr>
      </w:pPr>
      <w:r>
        <w:rPr>
          <w:rFonts w:hint="eastAsia" w:ascii="仿宋_GB2312" w:hAnsi="Times New Roman" w:eastAsia="仿宋_GB2312" w:cs="Times New Roman"/>
          <w:color w:val="auto"/>
          <w:kern w:val="2"/>
          <w:sz w:val="32"/>
          <w:szCs w:val="32"/>
          <w:u w:val="none"/>
          <w:lang w:val="en-US" w:eastAsia="zh-CN"/>
        </w:rPr>
        <w:t>自本公告发布之日起30日内，上述征收土地范围内的土地所有权人、土地使用权人及其他土地权利人须持土地及附着物权属有效证件或证明材料到</w:t>
      </w:r>
      <w:r>
        <w:rPr>
          <w:rFonts w:hint="eastAsia" w:ascii="仿宋_GB2312" w:eastAsia="仿宋_GB2312"/>
          <w:color w:val="0000FF"/>
          <w:sz w:val="32"/>
          <w:szCs w:val="32"/>
          <w:lang w:val="en-US" w:eastAsia="zh-CN"/>
        </w:rPr>
        <w:t>鄱阳镇人民政府</w:t>
      </w:r>
      <w:r>
        <w:rPr>
          <w:rFonts w:hint="eastAsia" w:ascii="仿宋_GB2312" w:hAnsi="Times New Roman" w:eastAsia="仿宋_GB2312" w:cs="Times New Roman"/>
          <w:color w:val="auto"/>
          <w:kern w:val="2"/>
          <w:sz w:val="32"/>
          <w:szCs w:val="32"/>
          <w:u w:val="none"/>
          <w:lang w:val="en-US" w:eastAsia="zh-CN"/>
        </w:rPr>
        <w:t>办理补偿登记。被征用土地所有权人和使用权人在规定期限内不办理征地补偿登记的，其补偿内容以</w:t>
      </w:r>
      <w:r>
        <w:rPr>
          <w:rFonts w:hint="eastAsia" w:ascii="仿宋_GB2312" w:eastAsia="仿宋_GB2312"/>
          <w:color w:val="0000FF"/>
          <w:sz w:val="32"/>
          <w:szCs w:val="32"/>
          <w:lang w:val="en-US" w:eastAsia="zh-CN"/>
        </w:rPr>
        <w:t>鄱阳镇人民政府</w:t>
      </w:r>
      <w:r>
        <w:rPr>
          <w:rFonts w:hint="eastAsia" w:ascii="仿宋_GB2312" w:hAnsi="Times New Roman" w:eastAsia="仿宋_GB2312" w:cs="Times New Roman"/>
          <w:color w:val="auto"/>
          <w:kern w:val="2"/>
          <w:sz w:val="32"/>
          <w:szCs w:val="32"/>
          <w:u w:val="none"/>
          <w:lang w:val="en-US" w:eastAsia="zh-CN"/>
        </w:rPr>
        <w:t>的调查结果为准。</w:t>
      </w:r>
    </w:p>
    <w:p>
      <w:pPr>
        <w:keepNext w:val="0"/>
        <w:keepLines w:val="0"/>
        <w:pageBreakBefore w:val="0"/>
        <w:widowControl w:val="0"/>
        <w:kinsoku/>
        <w:wordWrap/>
        <w:overflowPunct/>
        <w:topLinePunct w:val="0"/>
        <w:autoSpaceDE/>
        <w:autoSpaceDN/>
        <w:bidi w:val="0"/>
        <w:adjustRightInd/>
        <w:snapToGrid/>
        <w:spacing w:line="336" w:lineRule="exact"/>
        <w:ind w:firstLine="643" w:firstLineChars="200"/>
        <w:jc w:val="both"/>
        <w:textAlignment w:val="auto"/>
        <w:rPr>
          <w:rFonts w:hint="eastAsia" w:ascii="仿宋_GB2312" w:hAnsi="Times New Roman" w:eastAsia="仿宋_GB2312" w:cs="Times New Roman"/>
          <w:color w:val="auto"/>
          <w:kern w:val="2"/>
          <w:sz w:val="32"/>
          <w:szCs w:val="32"/>
          <w:u w:val="none"/>
          <w:lang w:val="en-US" w:eastAsia="zh-CN"/>
        </w:rPr>
      </w:pPr>
      <w:r>
        <w:rPr>
          <w:rFonts w:hint="eastAsia" w:ascii="仿宋_GB2312" w:hAnsi="Times New Roman" w:eastAsia="仿宋_GB2312" w:cs="Times New Roman"/>
          <w:b/>
          <w:bCs/>
          <w:color w:val="auto"/>
          <w:kern w:val="2"/>
          <w:sz w:val="32"/>
          <w:szCs w:val="32"/>
          <w:u w:val="none"/>
          <w:lang w:val="en-US" w:eastAsia="zh-CN"/>
        </w:rPr>
        <w:t>十一、补偿标准争议处理</w:t>
      </w:r>
    </w:p>
    <w:p>
      <w:pPr>
        <w:keepNext w:val="0"/>
        <w:keepLines w:val="0"/>
        <w:pageBreakBefore w:val="0"/>
        <w:widowControl w:val="0"/>
        <w:kinsoku/>
        <w:wordWrap/>
        <w:overflowPunct/>
        <w:topLinePunct w:val="0"/>
        <w:autoSpaceDE/>
        <w:autoSpaceDN/>
        <w:bidi w:val="0"/>
        <w:adjustRightInd/>
        <w:snapToGrid/>
        <w:spacing w:line="336" w:lineRule="exact"/>
        <w:ind w:firstLine="640" w:firstLineChars="200"/>
        <w:jc w:val="both"/>
        <w:textAlignment w:val="auto"/>
        <w:rPr>
          <w:rFonts w:hint="eastAsia" w:ascii="仿宋_GB2312" w:hAnsi="Times New Roman" w:eastAsia="仿宋_GB2312" w:cs="Times New Roman"/>
          <w:color w:val="auto"/>
          <w:kern w:val="2"/>
          <w:sz w:val="32"/>
          <w:szCs w:val="32"/>
          <w:u w:val="none"/>
          <w:lang w:val="en-US" w:eastAsia="zh-CN"/>
        </w:rPr>
      </w:pPr>
      <w:r>
        <w:rPr>
          <w:rFonts w:hint="eastAsia" w:ascii="仿宋_GB2312" w:hAnsi="Times New Roman" w:eastAsia="仿宋_GB2312" w:cs="Times New Roman"/>
          <w:color w:val="auto"/>
          <w:kern w:val="2"/>
          <w:sz w:val="32"/>
          <w:szCs w:val="32"/>
          <w:u w:val="none"/>
          <w:lang w:val="en-US" w:eastAsia="zh-CN"/>
        </w:rPr>
        <w:t>当事人对本征地补偿安置标准有争议的，由本县人民政府协调；协调不成的，报省人民政府裁决。</w:t>
      </w:r>
    </w:p>
    <w:p>
      <w:pPr>
        <w:keepNext w:val="0"/>
        <w:keepLines w:val="0"/>
        <w:pageBreakBefore w:val="0"/>
        <w:widowControl w:val="0"/>
        <w:kinsoku/>
        <w:wordWrap/>
        <w:overflowPunct/>
        <w:topLinePunct w:val="0"/>
        <w:autoSpaceDE/>
        <w:autoSpaceDN/>
        <w:bidi w:val="0"/>
        <w:adjustRightInd/>
        <w:snapToGrid/>
        <w:spacing w:line="336" w:lineRule="exact"/>
        <w:ind w:firstLine="640" w:firstLineChars="200"/>
        <w:jc w:val="both"/>
        <w:textAlignment w:val="auto"/>
        <w:rPr>
          <w:rFonts w:hint="eastAsia" w:ascii="仿宋_GB2312" w:hAnsi="Times New Roman" w:eastAsia="仿宋_GB2312" w:cs="Times New Roman"/>
          <w:color w:val="auto"/>
          <w:kern w:val="2"/>
          <w:sz w:val="32"/>
          <w:szCs w:val="32"/>
          <w:u w:val="none"/>
          <w:lang w:val="en-US" w:eastAsia="zh-CN"/>
        </w:rPr>
      </w:pPr>
      <w:r>
        <w:rPr>
          <w:rFonts w:hint="eastAsia" w:ascii="仿宋_GB2312" w:hAnsi="Times New Roman" w:eastAsia="仿宋_GB2312" w:cs="Times New Roman"/>
          <w:color w:val="auto"/>
          <w:kern w:val="2"/>
          <w:sz w:val="32"/>
          <w:szCs w:val="32"/>
          <w:u w:val="none"/>
          <w:lang w:val="en-US" w:eastAsia="zh-CN"/>
        </w:rPr>
        <w:t>特此公告。</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lang w:val="en-US" w:eastAsia="zh-CN"/>
        </w:rPr>
      </w:pPr>
      <w:r>
        <w:rPr>
          <w:rFonts w:hint="eastAsia" w:ascii="仿宋_GB2312" w:eastAsia="仿宋_GB2312"/>
          <w:sz w:val="32"/>
          <w:szCs w:val="32"/>
          <w:lang w:val="en-US" w:eastAsia="zh-CN"/>
        </w:rPr>
        <w:t>联系单位、联系地点及联系人：</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jc w:val="both"/>
        <w:textAlignment w:val="auto"/>
        <w:rPr>
          <w:rFonts w:hint="default" w:ascii="仿宋_GB2312" w:hAnsi="Times New Roman" w:eastAsia="仿宋_GB2312" w:cs="Times New Roman"/>
          <w:color w:val="auto"/>
          <w:kern w:val="2"/>
          <w:sz w:val="32"/>
          <w:szCs w:val="32"/>
          <w:u w:val="none"/>
          <w:lang w:val="en-US" w:eastAsia="zh-CN"/>
        </w:rPr>
      </w:pPr>
      <w:r>
        <w:rPr>
          <w:rFonts w:hint="eastAsia" w:ascii="仿宋_GB2312" w:hAnsi="Times New Roman" w:eastAsia="仿宋_GB2312" w:cs="Times New Roman"/>
          <w:color w:val="auto"/>
          <w:kern w:val="2"/>
          <w:sz w:val="32"/>
          <w:szCs w:val="32"/>
          <w:u w:val="none"/>
          <w:lang w:val="en-US" w:eastAsia="zh-CN"/>
        </w:rPr>
        <w:t>鄱阳县自然资源局      许金顺   13979332358</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jc w:val="both"/>
        <w:textAlignment w:val="auto"/>
        <w:rPr>
          <w:rFonts w:hint="eastAsia" w:ascii="仿宋_GB2312" w:hAnsi="Times New Roman" w:eastAsia="仿宋_GB2312" w:cs="Times New Roman"/>
          <w:color w:val="auto"/>
          <w:kern w:val="2"/>
          <w:sz w:val="32"/>
          <w:szCs w:val="32"/>
          <w:u w:val="none"/>
          <w:lang w:val="en-US" w:eastAsia="zh-CN"/>
        </w:rPr>
      </w:pPr>
      <w:r>
        <w:rPr>
          <w:rFonts w:hint="eastAsia" w:ascii="仿宋_GB2312" w:eastAsia="仿宋_GB2312"/>
          <w:color w:val="0000FF"/>
          <w:sz w:val="32"/>
          <w:szCs w:val="32"/>
          <w:lang w:val="en-US" w:eastAsia="zh-CN"/>
        </w:rPr>
        <w:t>鄱阳镇人民政府</w:t>
      </w:r>
      <w:r>
        <w:rPr>
          <w:rFonts w:hint="eastAsia" w:ascii="仿宋_GB2312" w:hAnsi="Times New Roman" w:eastAsia="仿宋_GB2312" w:cs="Times New Roman"/>
          <w:color w:val="auto"/>
          <w:kern w:val="2"/>
          <w:sz w:val="32"/>
          <w:szCs w:val="32"/>
          <w:u w:val="none"/>
          <w:lang w:val="en-US" w:eastAsia="zh-CN"/>
        </w:rPr>
        <w:t xml:space="preserve">        林大华   13970326816             </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jc w:val="both"/>
        <w:textAlignment w:val="auto"/>
        <w:rPr>
          <w:rFonts w:hint="eastAsia" w:ascii="仿宋_GB2312" w:hAnsi="Times New Roman" w:eastAsia="仿宋_GB2312" w:cs="Times New Roman"/>
          <w:color w:val="auto"/>
          <w:kern w:val="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jc w:val="both"/>
        <w:textAlignment w:val="auto"/>
        <w:rPr>
          <w:rFonts w:hint="eastAsia" w:ascii="仿宋_GB2312" w:hAnsi="Times New Roman" w:eastAsia="仿宋_GB2312" w:cs="Times New Roman"/>
          <w:color w:val="auto"/>
          <w:kern w:val="2"/>
          <w:sz w:val="32"/>
          <w:szCs w:val="32"/>
          <w:u w:val="none"/>
          <w:lang w:val="en-US" w:eastAsia="zh-CN"/>
        </w:rPr>
      </w:pPr>
      <w:r>
        <w:rPr>
          <w:rFonts w:hint="eastAsia" w:ascii="仿宋_GB2312" w:hAnsi="Times New Roman" w:eastAsia="仿宋_GB2312" w:cs="Times New Roman"/>
          <w:color w:val="auto"/>
          <w:kern w:val="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10240" w:firstLineChars="3200"/>
        <w:jc w:val="both"/>
        <w:textAlignment w:val="auto"/>
        <w:rPr>
          <w:rFonts w:hint="eastAsia" w:ascii="仿宋_GB2312" w:hAnsi="Times New Roman" w:eastAsia="仿宋_GB2312" w:cs="Times New Roman"/>
          <w:color w:val="0000FF"/>
          <w:kern w:val="2"/>
          <w:sz w:val="32"/>
          <w:szCs w:val="32"/>
          <w:lang w:val="en-US" w:eastAsia="zh-CN"/>
        </w:rPr>
      </w:pPr>
      <w:r>
        <w:rPr>
          <w:rFonts w:hint="eastAsia" w:ascii="仿宋_GB2312" w:hAnsi="Times New Roman" w:eastAsia="仿宋_GB2312" w:cs="Times New Roman"/>
          <w:color w:val="auto"/>
          <w:kern w:val="2"/>
          <w:sz w:val="32"/>
          <w:szCs w:val="32"/>
          <w:u w:val="none"/>
          <w:lang w:val="en-US" w:eastAsia="zh-CN"/>
        </w:rPr>
        <w:t xml:space="preserve">   </w:t>
      </w:r>
      <w:r>
        <w:rPr>
          <w:rFonts w:hint="eastAsia" w:ascii="仿宋_GB2312" w:hAnsi="Times New Roman" w:eastAsia="仿宋_GB2312" w:cs="Times New Roman"/>
          <w:color w:val="0000FF"/>
          <w:kern w:val="2"/>
          <w:sz w:val="32"/>
          <w:szCs w:val="32"/>
          <w:u w:val="none"/>
          <w:lang w:val="en-US" w:eastAsia="zh-CN"/>
        </w:rPr>
        <w:t>二〇二二年七月四日</w:t>
      </w:r>
    </w:p>
    <w:sectPr>
      <w:footerReference r:id="rId4" w:type="first"/>
      <w:footerReference r:id="rId3" w:type="even"/>
      <w:pgSz w:w="16838" w:h="23811"/>
      <w:pgMar w:top="1440" w:right="1080" w:bottom="1440" w:left="1080" w:header="851" w:footer="992" w:gutter="0"/>
      <w:cols w:space="425" w:num="1"/>
      <w:docGrid w:type="lines" w:linePitch="34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_HKSCS">
    <w:altName w:val="MingLiU-ExtB"/>
    <w:panose1 w:val="00000000000000000000"/>
    <w:charset w:val="88"/>
    <w:family w:val="roman"/>
    <w:pitch w:val="default"/>
    <w:sig w:usb0="00000000" w:usb1="00000000"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
    <w:altName w:val="PMingLiU-ExtB"/>
    <w:panose1 w:val="02010609000101010101"/>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rPr>
        <w:lang w:val="en-US" w:eastAsia="zh-CN"/>
      </w:rPr>
      <mc:AlternateContent>
        <mc:Choice Requires="wps">
          <w:drawing>
            <wp:anchor distT="0" distB="0" distL="114300" distR="114300" simplePos="0" relativeHeight="251660288" behindDoc="1" locked="0" layoutInCell="1" allowOverlap="1">
              <wp:simplePos x="0" y="0"/>
              <wp:positionH relativeFrom="page">
                <wp:posOffset>3702050</wp:posOffset>
              </wp:positionH>
              <wp:positionV relativeFrom="page">
                <wp:posOffset>9964420</wp:posOffset>
              </wp:positionV>
              <wp:extent cx="113030" cy="9144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13030" cy="91440"/>
                      </a:xfrm>
                      <a:prstGeom prst="rect">
                        <a:avLst/>
                      </a:prstGeom>
                      <a:noFill/>
                      <a:ln>
                        <a:noFill/>
                      </a:ln>
                    </wps:spPr>
                    <wps:txbx>
                      <w:txbxContent>
                        <w:p>
                          <w:pPr>
                            <w:pStyle w:val="10"/>
                            <w:shd w:val="clear" w:color="auto" w:fill="auto"/>
                            <w:spacing w:line="240" w:lineRule="auto"/>
                          </w:pPr>
                          <w:r>
                            <w:fldChar w:fldCharType="begin"/>
                          </w:r>
                          <w:r>
                            <w:instrText xml:space="preserve"> PAGE \* MERGEFORMAT </w:instrText>
                          </w:r>
                          <w:r>
                            <w:fldChar w:fldCharType="separate"/>
                          </w:r>
                          <w:r>
                            <w:rPr>
                              <w:rStyle w:val="11"/>
                              <w:rFonts w:eastAsia="MingLiU_HKSCS"/>
                            </w:rPr>
                            <w:t>24</w:t>
                          </w:r>
                          <w:r>
                            <w:rPr>
                              <w:rStyle w:val="11"/>
                              <w:rFonts w:eastAsia="MingLiU_HKSCS"/>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left:291.5pt;margin-top:784.6pt;height:7.2pt;width:8.9pt;mso-position-horizontal-relative:page;mso-position-vertical-relative:page;mso-wrap-style:none;z-index:-251656192;mso-width-relative:page;mso-height-relative:page;" filled="f" stroked="f" coordsize="21600,21600" o:gfxdata="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FdyJLYAAAADQEAAA8AAAAAAAAAAQAgAAAAIgAA&#10;AGRycy9kb3ducmV2LnhtbFBLAQIUABQAAAAIAIdO4kDEQvjEzwEAAJkDAAAOAAAAAAAAAAEAIAAA&#10;ACcBAABkcnMvZTJvRG9jLnhtbFBLBQYAAAAABgAGAFkBAABoBQAAAAA=&#10;">
              <v:fill on="f" focussize="0,0"/>
              <v:stroke on="f"/>
              <v:imagedata o:title=""/>
              <o:lock v:ext="edit" aspectratio="f"/>
              <v:textbox inset="0mm,0mm,0mm,0mm" style="mso-fit-shape-to-text:t;">
                <w:txbxContent>
                  <w:p>
                    <w:pPr>
                      <w:pStyle w:val="10"/>
                      <w:shd w:val="clear" w:color="auto" w:fill="auto"/>
                      <w:spacing w:line="240" w:lineRule="auto"/>
                    </w:pPr>
                    <w:r>
                      <w:fldChar w:fldCharType="begin"/>
                    </w:r>
                    <w:r>
                      <w:instrText xml:space="preserve"> PAGE \* MERGEFORMAT </w:instrText>
                    </w:r>
                    <w:r>
                      <w:fldChar w:fldCharType="separate"/>
                    </w:r>
                    <w:r>
                      <w:rPr>
                        <w:rStyle w:val="11"/>
                        <w:rFonts w:eastAsia="MingLiU_HKSCS"/>
                      </w:rPr>
                      <w:t>24</w:t>
                    </w:r>
                    <w:r>
                      <w:rPr>
                        <w:rStyle w:val="11"/>
                        <w:rFonts w:eastAsia="MingLiU_HKSCS"/>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rPr>
        <w:lang w:val="en-US" w:eastAsia="zh-CN"/>
      </w:rPr>
      <mc:AlternateContent>
        <mc:Choice Requires="wps">
          <w:drawing>
            <wp:anchor distT="0" distB="0" distL="114300" distR="114300" simplePos="0" relativeHeight="251659264" behindDoc="1" locked="0" layoutInCell="1" allowOverlap="1">
              <wp:simplePos x="0" y="0"/>
              <wp:positionH relativeFrom="page">
                <wp:posOffset>3771900</wp:posOffset>
              </wp:positionH>
              <wp:positionV relativeFrom="page">
                <wp:posOffset>9964420</wp:posOffset>
              </wp:positionV>
              <wp:extent cx="115570" cy="9144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15570" cy="91440"/>
                      </a:xfrm>
                      <a:prstGeom prst="rect">
                        <a:avLst/>
                      </a:prstGeom>
                      <a:noFill/>
                      <a:ln>
                        <a:noFill/>
                      </a:ln>
                    </wps:spPr>
                    <wps:txbx>
                      <w:txbxContent>
                        <w:p>
                          <w:pPr>
                            <w:pStyle w:val="10"/>
                            <w:shd w:val="clear" w:color="auto" w:fill="auto"/>
                            <w:spacing w:line="240" w:lineRule="auto"/>
                          </w:pPr>
                          <w:r>
                            <w:fldChar w:fldCharType="begin"/>
                          </w:r>
                          <w:r>
                            <w:instrText xml:space="preserve"> PAGE \* MERGEFORMAT </w:instrText>
                          </w:r>
                          <w:r>
                            <w:fldChar w:fldCharType="separate"/>
                          </w:r>
                          <w:r>
                            <w:rPr>
                              <w:rStyle w:val="11"/>
                              <w:rFonts w:eastAsia="MingLiU"/>
                            </w:rPr>
                            <w:t>1</w:t>
                          </w:r>
                          <w:r>
                            <w:rPr>
                              <w:rStyle w:val="11"/>
                              <w:rFonts w:eastAsia="MingLiU"/>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left:297pt;margin-top:784.6pt;height:7.2pt;width:9.1pt;mso-position-horizontal-relative:page;mso-position-vertical-relative:page;mso-wrap-style:none;z-index:-251657216;mso-width-relative:page;mso-height-relative:page;" filled="f" stroked="f" coordsize="21600,21600" o:gfxdata="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DcZhLZAAAADQEAAA8AAAAAAAAAAQAgAAAAIgAA&#10;AGRycy9kb3ducmV2LnhtbFBLAQIUABQAAAAIAIdO4kCUl8nazgEAAJkDAAAOAAAAAAAAAAEAIAAA&#10;ACgBAABkcnMvZTJvRG9jLnhtbFBLBQYAAAAABgAGAFkBAABoBQAAAAA=&#10;">
              <v:fill on="f" focussize="0,0"/>
              <v:stroke on="f"/>
              <v:imagedata o:title=""/>
              <o:lock v:ext="edit" aspectratio="f"/>
              <v:textbox inset="0mm,0mm,0mm,0mm" style="mso-fit-shape-to-text:t;">
                <w:txbxContent>
                  <w:p>
                    <w:pPr>
                      <w:pStyle w:val="10"/>
                      <w:shd w:val="clear" w:color="auto" w:fill="auto"/>
                      <w:spacing w:line="240" w:lineRule="auto"/>
                    </w:pPr>
                    <w:r>
                      <w:fldChar w:fldCharType="begin"/>
                    </w:r>
                    <w:r>
                      <w:instrText xml:space="preserve"> PAGE \* MERGEFORMAT </w:instrText>
                    </w:r>
                    <w:r>
                      <w:fldChar w:fldCharType="separate"/>
                    </w:r>
                    <w:r>
                      <w:rPr>
                        <w:rStyle w:val="11"/>
                        <w:rFonts w:eastAsia="MingLiU"/>
                      </w:rPr>
                      <w:t>1</w:t>
                    </w:r>
                    <w:r>
                      <w:rPr>
                        <w:rStyle w:val="11"/>
                        <w:rFonts w:eastAsia="MingLiU"/>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26"/>
  <w:drawingGridVerticalSpacing w:val="343"/>
  <w:displayHorizontalDrawingGridEvery w:val="0"/>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wYWRhZTIwMzgyNmJhZWZmZjViZjI1ZTk5NjgxYTYifQ=="/>
  </w:docVars>
  <w:rsids>
    <w:rsidRoot w:val="0043093E"/>
    <w:rsid w:val="000154E3"/>
    <w:rsid w:val="0005632D"/>
    <w:rsid w:val="000768E4"/>
    <w:rsid w:val="00086588"/>
    <w:rsid w:val="000A35EA"/>
    <w:rsid w:val="000C0A7B"/>
    <w:rsid w:val="000D1973"/>
    <w:rsid w:val="001005EB"/>
    <w:rsid w:val="00103976"/>
    <w:rsid w:val="00151E97"/>
    <w:rsid w:val="00161A5E"/>
    <w:rsid w:val="001872AD"/>
    <w:rsid w:val="001877EB"/>
    <w:rsid w:val="00192CB5"/>
    <w:rsid w:val="001A4953"/>
    <w:rsid w:val="001C38E5"/>
    <w:rsid w:val="001C3E38"/>
    <w:rsid w:val="001C5AD9"/>
    <w:rsid w:val="00200130"/>
    <w:rsid w:val="00202773"/>
    <w:rsid w:val="0020541A"/>
    <w:rsid w:val="00205BF4"/>
    <w:rsid w:val="002338A7"/>
    <w:rsid w:val="00236F74"/>
    <w:rsid w:val="00242E5E"/>
    <w:rsid w:val="00247C3D"/>
    <w:rsid w:val="002A6678"/>
    <w:rsid w:val="002C1A87"/>
    <w:rsid w:val="002C3FB5"/>
    <w:rsid w:val="002D5B7E"/>
    <w:rsid w:val="002E5145"/>
    <w:rsid w:val="0033179F"/>
    <w:rsid w:val="00346DA4"/>
    <w:rsid w:val="00354841"/>
    <w:rsid w:val="003613C2"/>
    <w:rsid w:val="00370AB6"/>
    <w:rsid w:val="00374EB6"/>
    <w:rsid w:val="00380DFA"/>
    <w:rsid w:val="00387776"/>
    <w:rsid w:val="003B5293"/>
    <w:rsid w:val="00403B77"/>
    <w:rsid w:val="004040D2"/>
    <w:rsid w:val="00422D3B"/>
    <w:rsid w:val="0043093E"/>
    <w:rsid w:val="0043205E"/>
    <w:rsid w:val="00437DC6"/>
    <w:rsid w:val="00442347"/>
    <w:rsid w:val="004503AD"/>
    <w:rsid w:val="004656D4"/>
    <w:rsid w:val="0047262B"/>
    <w:rsid w:val="00474BFF"/>
    <w:rsid w:val="00491707"/>
    <w:rsid w:val="004A3A34"/>
    <w:rsid w:val="004B25CA"/>
    <w:rsid w:val="004B74A2"/>
    <w:rsid w:val="004C18B3"/>
    <w:rsid w:val="004F05EB"/>
    <w:rsid w:val="004F2768"/>
    <w:rsid w:val="00540DCA"/>
    <w:rsid w:val="005922D8"/>
    <w:rsid w:val="005A0225"/>
    <w:rsid w:val="005A7526"/>
    <w:rsid w:val="005B3776"/>
    <w:rsid w:val="005D5008"/>
    <w:rsid w:val="005E1528"/>
    <w:rsid w:val="005E6A10"/>
    <w:rsid w:val="00604575"/>
    <w:rsid w:val="006124B3"/>
    <w:rsid w:val="00627609"/>
    <w:rsid w:val="00632566"/>
    <w:rsid w:val="006538A4"/>
    <w:rsid w:val="00657F1A"/>
    <w:rsid w:val="00661AA1"/>
    <w:rsid w:val="0067245E"/>
    <w:rsid w:val="00676854"/>
    <w:rsid w:val="00681B90"/>
    <w:rsid w:val="006919D7"/>
    <w:rsid w:val="006D5C61"/>
    <w:rsid w:val="007658DB"/>
    <w:rsid w:val="00793A38"/>
    <w:rsid w:val="007A7EFF"/>
    <w:rsid w:val="007B5DD6"/>
    <w:rsid w:val="007D4231"/>
    <w:rsid w:val="007E1CEF"/>
    <w:rsid w:val="007E1FC0"/>
    <w:rsid w:val="007E3A46"/>
    <w:rsid w:val="00822772"/>
    <w:rsid w:val="00864BBA"/>
    <w:rsid w:val="00887BB3"/>
    <w:rsid w:val="008B5631"/>
    <w:rsid w:val="008B7763"/>
    <w:rsid w:val="008C17E6"/>
    <w:rsid w:val="008E3A27"/>
    <w:rsid w:val="00910746"/>
    <w:rsid w:val="00917012"/>
    <w:rsid w:val="00920775"/>
    <w:rsid w:val="00954CE2"/>
    <w:rsid w:val="00956D5E"/>
    <w:rsid w:val="009A0277"/>
    <w:rsid w:val="009A2AC3"/>
    <w:rsid w:val="009A42E1"/>
    <w:rsid w:val="009C0320"/>
    <w:rsid w:val="009C7FEF"/>
    <w:rsid w:val="009D0C3E"/>
    <w:rsid w:val="009D150C"/>
    <w:rsid w:val="00A07721"/>
    <w:rsid w:val="00A22581"/>
    <w:rsid w:val="00A37120"/>
    <w:rsid w:val="00A609A8"/>
    <w:rsid w:val="00A91348"/>
    <w:rsid w:val="00AB3C66"/>
    <w:rsid w:val="00AB74E2"/>
    <w:rsid w:val="00B0737E"/>
    <w:rsid w:val="00B26ED3"/>
    <w:rsid w:val="00B32299"/>
    <w:rsid w:val="00B40D95"/>
    <w:rsid w:val="00BC02E0"/>
    <w:rsid w:val="00BD2AD8"/>
    <w:rsid w:val="00BF0D99"/>
    <w:rsid w:val="00C30A84"/>
    <w:rsid w:val="00C54FE1"/>
    <w:rsid w:val="00C80455"/>
    <w:rsid w:val="00C84839"/>
    <w:rsid w:val="00C914B0"/>
    <w:rsid w:val="00CA6F56"/>
    <w:rsid w:val="00CE1BC8"/>
    <w:rsid w:val="00CE76DB"/>
    <w:rsid w:val="00D04E7D"/>
    <w:rsid w:val="00D13FDD"/>
    <w:rsid w:val="00D332B6"/>
    <w:rsid w:val="00D35CE5"/>
    <w:rsid w:val="00D64071"/>
    <w:rsid w:val="00D71EB6"/>
    <w:rsid w:val="00DB4701"/>
    <w:rsid w:val="00DC59EE"/>
    <w:rsid w:val="00DF1AFC"/>
    <w:rsid w:val="00E533B3"/>
    <w:rsid w:val="00E826CC"/>
    <w:rsid w:val="00E84D53"/>
    <w:rsid w:val="00EC1241"/>
    <w:rsid w:val="00ED0406"/>
    <w:rsid w:val="00ED529F"/>
    <w:rsid w:val="00EE4837"/>
    <w:rsid w:val="00EE572B"/>
    <w:rsid w:val="00EE6982"/>
    <w:rsid w:val="00F040B3"/>
    <w:rsid w:val="00F16313"/>
    <w:rsid w:val="00F30EDE"/>
    <w:rsid w:val="00F3743B"/>
    <w:rsid w:val="00F538B9"/>
    <w:rsid w:val="00F578BD"/>
    <w:rsid w:val="00F707CD"/>
    <w:rsid w:val="00F75049"/>
    <w:rsid w:val="00F81609"/>
    <w:rsid w:val="00F90469"/>
    <w:rsid w:val="00F97437"/>
    <w:rsid w:val="00FD67D2"/>
    <w:rsid w:val="00FE6930"/>
    <w:rsid w:val="01D145F2"/>
    <w:rsid w:val="02CE4CF7"/>
    <w:rsid w:val="039A3942"/>
    <w:rsid w:val="04997259"/>
    <w:rsid w:val="051D3825"/>
    <w:rsid w:val="08E371A2"/>
    <w:rsid w:val="0BF83BED"/>
    <w:rsid w:val="0EBB6B81"/>
    <w:rsid w:val="0EC73BC2"/>
    <w:rsid w:val="103A396C"/>
    <w:rsid w:val="113533CA"/>
    <w:rsid w:val="156D14DD"/>
    <w:rsid w:val="19673AD3"/>
    <w:rsid w:val="1C5123D0"/>
    <w:rsid w:val="1E946E81"/>
    <w:rsid w:val="1EF52E63"/>
    <w:rsid w:val="23B252B3"/>
    <w:rsid w:val="24812CEF"/>
    <w:rsid w:val="252B5AA1"/>
    <w:rsid w:val="257F2EAF"/>
    <w:rsid w:val="26B950C5"/>
    <w:rsid w:val="274F3496"/>
    <w:rsid w:val="290F0C20"/>
    <w:rsid w:val="29D27190"/>
    <w:rsid w:val="29E063D1"/>
    <w:rsid w:val="2D195E86"/>
    <w:rsid w:val="2ED316F4"/>
    <w:rsid w:val="30E375AA"/>
    <w:rsid w:val="353562AB"/>
    <w:rsid w:val="353B4BA4"/>
    <w:rsid w:val="35454A20"/>
    <w:rsid w:val="357D4202"/>
    <w:rsid w:val="35E00F92"/>
    <w:rsid w:val="36FC4779"/>
    <w:rsid w:val="3B812B2D"/>
    <w:rsid w:val="3C6241E2"/>
    <w:rsid w:val="3CEE071B"/>
    <w:rsid w:val="3F8E6018"/>
    <w:rsid w:val="427E0A61"/>
    <w:rsid w:val="42960465"/>
    <w:rsid w:val="4706430C"/>
    <w:rsid w:val="47241988"/>
    <w:rsid w:val="4A582C68"/>
    <w:rsid w:val="50460783"/>
    <w:rsid w:val="50666E0B"/>
    <w:rsid w:val="50E72179"/>
    <w:rsid w:val="54FD460F"/>
    <w:rsid w:val="5714644E"/>
    <w:rsid w:val="57EC2D6C"/>
    <w:rsid w:val="582464F0"/>
    <w:rsid w:val="5872545A"/>
    <w:rsid w:val="5B553367"/>
    <w:rsid w:val="5DB264BA"/>
    <w:rsid w:val="5F843D4D"/>
    <w:rsid w:val="69AB5332"/>
    <w:rsid w:val="6B410735"/>
    <w:rsid w:val="6CFE3F61"/>
    <w:rsid w:val="6D0C6550"/>
    <w:rsid w:val="6D846323"/>
    <w:rsid w:val="703431D4"/>
    <w:rsid w:val="74E751EC"/>
    <w:rsid w:val="77D37580"/>
    <w:rsid w:val="7D7953B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MingLiU_HKSCS" w:hAnsi="MingLiU_HKSCS" w:eastAsia="MingLiU_HKSCS" w:cs="MingLiU_HKSCS"/>
      <w:color w:val="000000"/>
      <w:kern w:val="0"/>
      <w:sz w:val="24"/>
      <w:szCs w:val="24"/>
      <w:lang w:val="zh-TW" w:eastAsia="zh-TW"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1"/>
    <w:semiHidden/>
    <w:qFormat/>
    <w:uiPriority w:val="99"/>
    <w:rPr>
      <w:sz w:val="18"/>
      <w:szCs w:val="18"/>
    </w:rPr>
  </w:style>
  <w:style w:type="paragraph" w:styleId="3">
    <w:name w:val="footer"/>
    <w:basedOn w:val="1"/>
    <w:link w:val="22"/>
    <w:semiHidden/>
    <w:unhideWhenUsed/>
    <w:qFormat/>
    <w:uiPriority w:val="99"/>
    <w:pPr>
      <w:tabs>
        <w:tab w:val="center" w:pos="4153"/>
        <w:tab w:val="right" w:pos="8306"/>
      </w:tabs>
      <w:snapToGrid w:val="0"/>
    </w:pPr>
    <w:rPr>
      <w:sz w:val="18"/>
      <w:szCs w:val="18"/>
    </w:rPr>
  </w:style>
  <w:style w:type="paragraph" w:styleId="4">
    <w:name w:val="header"/>
    <w:basedOn w:val="1"/>
    <w:link w:val="20"/>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2)_"/>
    <w:basedOn w:val="6"/>
    <w:link w:val="8"/>
    <w:qFormat/>
    <w:locked/>
    <w:uiPriority w:val="99"/>
    <w:rPr>
      <w:rFonts w:ascii="MingLiU" w:hAnsi="MingLiU" w:eastAsia="MingLiU" w:cs="MingLiU"/>
      <w:spacing w:val="20"/>
      <w:sz w:val="28"/>
      <w:szCs w:val="28"/>
      <w:shd w:val="clear" w:color="auto" w:fill="FFFFFF"/>
    </w:rPr>
  </w:style>
  <w:style w:type="paragraph" w:customStyle="1" w:styleId="8">
    <w:name w:val="正文文本 (2)4"/>
    <w:basedOn w:val="1"/>
    <w:link w:val="7"/>
    <w:qFormat/>
    <w:uiPriority w:val="99"/>
    <w:pPr>
      <w:shd w:val="clear" w:color="auto" w:fill="FFFFFF"/>
      <w:spacing w:before="8040" w:line="408" w:lineRule="exact"/>
      <w:ind w:hanging="1120"/>
      <w:jc w:val="center"/>
    </w:pPr>
    <w:rPr>
      <w:rFonts w:ascii="MingLiU" w:hAnsi="MingLiU" w:eastAsia="MingLiU" w:cs="MingLiU"/>
      <w:color w:val="auto"/>
      <w:spacing w:val="20"/>
      <w:kern w:val="2"/>
      <w:sz w:val="28"/>
      <w:szCs w:val="28"/>
      <w:lang w:val="en-US" w:eastAsia="zh-CN"/>
    </w:rPr>
  </w:style>
  <w:style w:type="character" w:customStyle="1" w:styleId="9">
    <w:name w:val="页眉或页脚_"/>
    <w:basedOn w:val="6"/>
    <w:link w:val="10"/>
    <w:qFormat/>
    <w:locked/>
    <w:uiPriority w:val="99"/>
    <w:rPr>
      <w:rFonts w:ascii="Times New Roman" w:hAnsi="Times New Roman" w:cs="Times New Roman"/>
      <w:sz w:val="21"/>
      <w:szCs w:val="21"/>
      <w:shd w:val="clear" w:color="auto" w:fill="FFFFFF"/>
    </w:rPr>
  </w:style>
  <w:style w:type="paragraph" w:customStyle="1" w:styleId="10">
    <w:name w:val="页眉或页脚1"/>
    <w:basedOn w:val="1"/>
    <w:link w:val="9"/>
    <w:qFormat/>
    <w:uiPriority w:val="99"/>
    <w:pPr>
      <w:shd w:val="clear" w:color="auto" w:fill="FFFFFF"/>
      <w:spacing w:line="240" w:lineRule="atLeast"/>
    </w:pPr>
    <w:rPr>
      <w:rFonts w:ascii="Times New Roman" w:hAnsi="Times New Roman" w:eastAsia="宋体" w:cs="Times New Roman"/>
      <w:color w:val="auto"/>
      <w:kern w:val="2"/>
      <w:sz w:val="21"/>
      <w:szCs w:val="21"/>
      <w:lang w:val="en-US" w:eastAsia="zh-CN"/>
    </w:rPr>
  </w:style>
  <w:style w:type="character" w:customStyle="1" w:styleId="11">
    <w:name w:val="页眉或页脚"/>
    <w:basedOn w:val="9"/>
    <w:qFormat/>
    <w:uiPriority w:val="99"/>
    <w:rPr>
      <w:color w:val="000000"/>
      <w:spacing w:val="0"/>
      <w:w w:val="100"/>
      <w:position w:val="0"/>
      <w:lang w:val="zh-TW" w:eastAsia="zh-TW"/>
    </w:rPr>
  </w:style>
  <w:style w:type="character" w:customStyle="1" w:styleId="12">
    <w:name w:val="标题 #2_"/>
    <w:basedOn w:val="6"/>
    <w:link w:val="13"/>
    <w:qFormat/>
    <w:locked/>
    <w:uiPriority w:val="99"/>
    <w:rPr>
      <w:rFonts w:ascii="MingLiU" w:hAnsi="MingLiU" w:eastAsia="MingLiU" w:cs="MingLiU"/>
      <w:sz w:val="38"/>
      <w:szCs w:val="38"/>
      <w:shd w:val="clear" w:color="auto" w:fill="FFFFFF"/>
    </w:rPr>
  </w:style>
  <w:style w:type="paragraph" w:customStyle="1" w:styleId="13">
    <w:name w:val="标题 #2"/>
    <w:basedOn w:val="1"/>
    <w:link w:val="12"/>
    <w:qFormat/>
    <w:uiPriority w:val="99"/>
    <w:pPr>
      <w:shd w:val="clear" w:color="auto" w:fill="FFFFFF"/>
      <w:spacing w:after="360" w:line="240" w:lineRule="atLeast"/>
      <w:jc w:val="distribute"/>
      <w:outlineLvl w:val="1"/>
    </w:pPr>
    <w:rPr>
      <w:rFonts w:ascii="MingLiU" w:hAnsi="MingLiU" w:eastAsia="MingLiU" w:cs="MingLiU"/>
      <w:color w:val="auto"/>
      <w:kern w:val="2"/>
      <w:sz w:val="38"/>
      <w:szCs w:val="38"/>
      <w:lang w:val="en-US" w:eastAsia="zh-CN"/>
    </w:rPr>
  </w:style>
  <w:style w:type="character" w:customStyle="1" w:styleId="14">
    <w:name w:val="正文文本 (4)_"/>
    <w:basedOn w:val="6"/>
    <w:link w:val="15"/>
    <w:qFormat/>
    <w:locked/>
    <w:uiPriority w:val="99"/>
    <w:rPr>
      <w:rFonts w:ascii="MingLiU" w:hAnsi="MingLiU" w:eastAsia="MingLiU" w:cs="MingLiU"/>
      <w:b/>
      <w:bCs/>
      <w:sz w:val="30"/>
      <w:szCs w:val="30"/>
      <w:shd w:val="clear" w:color="auto" w:fill="FFFFFF"/>
    </w:rPr>
  </w:style>
  <w:style w:type="paragraph" w:customStyle="1" w:styleId="15">
    <w:name w:val="正文文本 (4)"/>
    <w:basedOn w:val="1"/>
    <w:link w:val="14"/>
    <w:qFormat/>
    <w:uiPriority w:val="99"/>
    <w:pPr>
      <w:shd w:val="clear" w:color="auto" w:fill="FFFFFF"/>
      <w:spacing w:after="180" w:line="240" w:lineRule="atLeast"/>
      <w:ind w:hanging="1720"/>
      <w:jc w:val="distribute"/>
    </w:pPr>
    <w:rPr>
      <w:rFonts w:ascii="MingLiU" w:hAnsi="MingLiU" w:eastAsia="MingLiU" w:cs="MingLiU"/>
      <w:b/>
      <w:bCs/>
      <w:color w:val="auto"/>
      <w:kern w:val="2"/>
      <w:sz w:val="30"/>
      <w:szCs w:val="30"/>
      <w:lang w:val="en-US" w:eastAsia="zh-CN"/>
    </w:rPr>
  </w:style>
  <w:style w:type="character" w:customStyle="1" w:styleId="16">
    <w:name w:val="正文文本 (2) + 15 pt1"/>
    <w:basedOn w:val="7"/>
    <w:qFormat/>
    <w:uiPriority w:val="99"/>
    <w:rPr>
      <w:color w:val="000000"/>
      <w:spacing w:val="-20"/>
      <w:w w:val="100"/>
      <w:position w:val="0"/>
      <w:sz w:val="30"/>
      <w:szCs w:val="30"/>
      <w:lang w:val="zh-TW" w:eastAsia="zh-TW"/>
    </w:rPr>
  </w:style>
  <w:style w:type="character" w:customStyle="1" w:styleId="17">
    <w:name w:val="正文文本 (2) + 间距 0 pt2"/>
    <w:basedOn w:val="7"/>
    <w:qFormat/>
    <w:uiPriority w:val="99"/>
    <w:rPr>
      <w:color w:val="000000"/>
      <w:spacing w:val="0"/>
      <w:w w:val="100"/>
      <w:position w:val="0"/>
      <w:lang w:val="zh-TW" w:eastAsia="zh-TW"/>
    </w:rPr>
  </w:style>
  <w:style w:type="character" w:customStyle="1" w:styleId="18">
    <w:name w:val="标题 #2 + 15 pt"/>
    <w:basedOn w:val="12"/>
    <w:qFormat/>
    <w:uiPriority w:val="99"/>
    <w:rPr>
      <w:b/>
      <w:bCs/>
      <w:color w:val="000000"/>
      <w:w w:val="100"/>
      <w:position w:val="0"/>
      <w:sz w:val="30"/>
      <w:szCs w:val="30"/>
      <w:lang w:val="zh-TW" w:eastAsia="zh-TW"/>
    </w:rPr>
  </w:style>
  <w:style w:type="character" w:customStyle="1" w:styleId="19">
    <w:name w:val="正文文本 (2) + 19 pt"/>
    <w:basedOn w:val="7"/>
    <w:qFormat/>
    <w:uiPriority w:val="99"/>
    <w:rPr>
      <w:color w:val="000000"/>
      <w:spacing w:val="0"/>
      <w:w w:val="100"/>
      <w:position w:val="0"/>
      <w:sz w:val="38"/>
      <w:szCs w:val="38"/>
      <w:lang w:val="zh-TW" w:eastAsia="zh-TW"/>
    </w:rPr>
  </w:style>
  <w:style w:type="character" w:customStyle="1" w:styleId="20">
    <w:name w:val="页眉 Char"/>
    <w:basedOn w:val="6"/>
    <w:link w:val="4"/>
    <w:semiHidden/>
    <w:qFormat/>
    <w:locked/>
    <w:uiPriority w:val="99"/>
    <w:rPr>
      <w:rFonts w:ascii="MingLiU_HKSCS" w:hAnsi="MingLiU_HKSCS" w:eastAsia="MingLiU_HKSCS" w:cs="MingLiU_HKSCS"/>
      <w:color w:val="000000"/>
      <w:kern w:val="0"/>
      <w:sz w:val="18"/>
      <w:szCs w:val="18"/>
      <w:lang w:val="zh-TW" w:eastAsia="zh-TW"/>
    </w:rPr>
  </w:style>
  <w:style w:type="character" w:customStyle="1" w:styleId="21">
    <w:name w:val="批注框文本 Char"/>
    <w:basedOn w:val="6"/>
    <w:link w:val="2"/>
    <w:semiHidden/>
    <w:qFormat/>
    <w:locked/>
    <w:uiPriority w:val="99"/>
    <w:rPr>
      <w:rFonts w:ascii="MingLiU_HKSCS" w:hAnsi="MingLiU_HKSCS" w:eastAsia="MingLiU_HKSCS" w:cs="MingLiU_HKSCS"/>
      <w:color w:val="000000"/>
      <w:kern w:val="0"/>
      <w:sz w:val="18"/>
      <w:szCs w:val="18"/>
      <w:lang w:val="zh-TW" w:eastAsia="zh-TW"/>
    </w:rPr>
  </w:style>
  <w:style w:type="character" w:customStyle="1" w:styleId="22">
    <w:name w:val="页脚 Char"/>
    <w:basedOn w:val="6"/>
    <w:link w:val="3"/>
    <w:semiHidden/>
    <w:qFormat/>
    <w:uiPriority w:val="99"/>
    <w:rPr>
      <w:rFonts w:ascii="MingLiU_HKSCS" w:hAnsi="MingLiU_HKSCS" w:eastAsia="MingLiU_HKSCS" w:cs="MingLiU_HKSCS"/>
      <w:color w:val="000000"/>
      <w:kern w:val="0"/>
      <w:sz w:val="18"/>
      <w:szCs w:val="18"/>
      <w:lang w:val="zh-TW" w:eastAsia="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A3F343-C6C3-4EBB-8397-2CAF84907357}">
  <ds:schemaRefs/>
</ds:datastoreItem>
</file>

<file path=docProps/app.xml><?xml version="1.0" encoding="utf-8"?>
<Properties xmlns="http://schemas.openxmlformats.org/officeDocument/2006/extended-properties" xmlns:vt="http://schemas.openxmlformats.org/officeDocument/2006/docPropsVTypes">
  <Template>Normal</Template>
  <Pages>1</Pages>
  <Words>1333</Words>
  <Characters>1425</Characters>
  <Lines>8</Lines>
  <Paragraphs>2</Paragraphs>
  <TotalTime>1</TotalTime>
  <ScaleCrop>false</ScaleCrop>
  <LinksUpToDate>false</LinksUpToDate>
  <CharactersWithSpaces>1467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2020-07-22T03:16:00Z</dcterms:created>
  <dc:creator>wcr</dc:creator>
  <cp:lastModifiedBy>小叶灯饰  余琴 15279308595</cp:lastModifiedBy>
  <cp:lastPrinted>2022-02-16T02:15:00Z</cp:lastPrinted>
  <dcterms:modified xsi:type="dcterms:W3CDTF">2022-07-22T02:51:40Z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303A2F7680E84B8D9C2DE1D8FFEE7C09</vt:lpwstr>
  </property>
</Properties>
</file>