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400" w:lineRule="exact"/>
        <w:ind w:right="0" w:rightChars="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上饶市自然资源资产档案库房电梯技术参数和相关要求</w:t>
      </w:r>
    </w:p>
    <w:p>
      <w:pPr>
        <w:keepNext w:val="0"/>
        <w:keepLines w:val="0"/>
        <w:pageBreakBefore w:val="0"/>
        <w:numPr>
          <w:ilvl w:val="0"/>
          <w:numId w:val="0"/>
        </w:numPr>
        <w:kinsoku/>
        <w:wordWrap/>
        <w:overflowPunct/>
        <w:topLinePunct w:val="0"/>
        <w:bidi w:val="0"/>
        <w:spacing w:line="400" w:lineRule="exact"/>
        <w:ind w:right="0" w:rightChars="0" w:firstLine="481" w:firstLineChars="200"/>
        <w:jc w:val="both"/>
        <w:textAlignment w:val="auto"/>
        <w:rPr>
          <w:rFonts w:hint="eastAsia" w:ascii="仿宋_GB2312" w:hAnsi="仿宋_GB2312" w:eastAsia="仿宋_GB2312" w:cs="仿宋_GB2312"/>
          <w:b/>
          <w:sz w:val="24"/>
          <w:lang w:val="en-US" w:eastAsia="zh-CN"/>
        </w:rPr>
      </w:pPr>
    </w:p>
    <w:p>
      <w:pPr>
        <w:keepNext w:val="0"/>
        <w:keepLines w:val="0"/>
        <w:pageBreakBefore w:val="0"/>
        <w:numPr>
          <w:ilvl w:val="0"/>
          <w:numId w:val="0"/>
        </w:numPr>
        <w:kinsoku/>
        <w:wordWrap/>
        <w:overflowPunct/>
        <w:topLinePunct w:val="0"/>
        <w:bidi w:val="0"/>
        <w:spacing w:line="400" w:lineRule="exact"/>
        <w:ind w:right="0" w:rightChars="0" w:firstLine="481"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b/>
          <w:sz w:val="24"/>
          <w:lang w:val="en-US" w:eastAsia="zh-CN"/>
        </w:rPr>
        <w:t>1.</w:t>
      </w:r>
      <w:r>
        <w:rPr>
          <w:rFonts w:hint="eastAsia" w:ascii="仿宋_GB2312" w:hAnsi="仿宋_GB2312" w:eastAsia="仿宋_GB2312" w:cs="仿宋_GB2312"/>
          <w:b/>
          <w:sz w:val="24"/>
        </w:rPr>
        <w:t>总体技术要求：</w:t>
      </w:r>
      <w:r>
        <w:rPr>
          <w:rFonts w:hint="eastAsia" w:ascii="仿宋_GB2312" w:hAnsi="仿宋_GB2312" w:eastAsia="仿宋_GB2312" w:cs="仿宋_GB2312"/>
          <w:sz w:val="24"/>
        </w:rPr>
        <w:t>投标人应根据资料和要求，按标准规定设计好电梯的轿厢，若轿厢尺寸设计受到</w:t>
      </w:r>
      <w:bookmarkStart w:id="0" w:name="_GoBack"/>
      <w:bookmarkEnd w:id="0"/>
      <w:r>
        <w:rPr>
          <w:rFonts w:hint="eastAsia" w:ascii="仿宋_GB2312" w:hAnsi="仿宋_GB2312" w:eastAsia="仿宋_GB2312" w:cs="仿宋_GB2312"/>
          <w:sz w:val="24"/>
        </w:rPr>
        <w:t>井道尺寸限制时，应给予说明。</w:t>
      </w:r>
    </w:p>
    <w:p>
      <w:pPr>
        <w:keepNext w:val="0"/>
        <w:keepLines w:val="0"/>
        <w:pageBreakBefore w:val="0"/>
        <w:numPr>
          <w:ilvl w:val="0"/>
          <w:numId w:val="0"/>
        </w:numPr>
        <w:kinsoku/>
        <w:wordWrap/>
        <w:overflowPunct/>
        <w:topLinePunct w:val="0"/>
        <w:bidi w:val="0"/>
        <w:spacing w:line="400" w:lineRule="exact"/>
        <w:ind w:right="0" w:rightChars="0" w:firstLine="481"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2.电梯技术参数表</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firstLine="481" w:firstLineChars="200"/>
        <w:jc w:val="both"/>
        <w:textAlignment w:val="auto"/>
        <w:rPr>
          <w:rFonts w:hint="eastAsia" w:ascii="仿宋_GB2312" w:hAnsi="仿宋_GB2312" w:eastAsia="仿宋_GB2312" w:cs="仿宋_GB2312"/>
          <w:b/>
          <w:sz w:val="24"/>
        </w:rPr>
      </w:pPr>
    </w:p>
    <w:tbl>
      <w:tblPr>
        <w:tblStyle w:val="5"/>
        <w:tblpPr w:leftFromText="180" w:rightFromText="180" w:vertAnchor="text" w:horzAnchor="margin" w:tblpX="69" w:tblpY="-6"/>
        <w:tblOverlap w:val="never"/>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938"/>
        <w:gridCol w:w="1190"/>
        <w:gridCol w:w="2307"/>
        <w:gridCol w:w="3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序号</w:t>
            </w:r>
          </w:p>
        </w:tc>
        <w:tc>
          <w:tcPr>
            <w:tcW w:w="443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项</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lang w:eastAsia="zh-CN"/>
              </w:rPr>
              <w:t>目</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9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技术</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规格</w:t>
            </w: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电梯</w:t>
            </w:r>
            <w:r>
              <w:rPr>
                <w:rFonts w:hint="eastAsia" w:ascii="仿宋_GB2312" w:hAnsi="仿宋_GB2312" w:eastAsia="仿宋_GB2312" w:cs="仿宋_GB2312"/>
                <w:kern w:val="0"/>
                <w:sz w:val="24"/>
              </w:rPr>
              <w:t>类型</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乘客电梯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乘客、载货电梯</w:t>
            </w:r>
          </w:p>
          <w:p>
            <w:pPr>
              <w:keepNext w:val="0"/>
              <w:keepLines w:val="0"/>
              <w:pageBreakBefore w:val="0"/>
              <w:widowControl w:val="0"/>
              <w:kinsoku/>
              <w:wordWrap/>
              <w:overflowPunct/>
              <w:topLinePunct w:val="0"/>
              <w:autoSpaceDE/>
              <w:autoSpaceDN/>
              <w:bidi w:val="0"/>
              <w:adjustRightInd/>
              <w:snapToGrid/>
              <w:spacing w:line="320" w:lineRule="exact"/>
              <w:ind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曳引机放置位置</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电梯数量</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2台（详见图纸，至少1台消防梯）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驱动方式</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曳引驱动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调速方式</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交流变频调速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控制系统</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全电脑微机控制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控制方式</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集选控制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9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基本</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参数</w:t>
            </w:r>
          </w:p>
        </w:tc>
        <w:tc>
          <w:tcPr>
            <w:tcW w:w="119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乘客、载货电梯</w:t>
            </w:r>
          </w:p>
        </w:tc>
        <w:tc>
          <w:tcPr>
            <w:tcW w:w="23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*额定载重量(kg)</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≧1000KG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11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23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*额定速度(m/s)</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1.5</w:t>
            </w:r>
            <w:r>
              <w:rPr>
                <w:rFonts w:hint="eastAsia" w:ascii="仿宋_GB2312" w:hAnsi="仿宋_GB2312" w:eastAsia="仿宋_GB2312" w:cs="仿宋_GB2312"/>
                <w:sz w:val="24"/>
              </w:rPr>
              <w:t xml:space="preserve">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11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23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层/站/门</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5/5/5（含负一楼）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11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23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服务楼层</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5（含地下室）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11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23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基站设置</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9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轿厢</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参数及规格</w:t>
            </w: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轿厢净尺寸(宽×深×高)</w:t>
            </w:r>
          </w:p>
        </w:tc>
        <w:tc>
          <w:tcPr>
            <w:tcW w:w="396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rPr>
            </w:pPr>
            <w:r>
              <w:rPr>
                <w:rFonts w:hint="eastAsia" w:ascii="仿宋_GB2312" w:hAnsi="仿宋_GB2312" w:eastAsia="仿宋_GB2312" w:cs="仿宋_GB2312"/>
                <w:bCs/>
                <w:sz w:val="24"/>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开门净尺寸(宽×高)</w:t>
            </w:r>
          </w:p>
        </w:tc>
        <w:tc>
          <w:tcPr>
            <w:tcW w:w="396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详见图纸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rPr>
            </w:pPr>
            <w:r>
              <w:rPr>
                <w:rFonts w:hint="eastAsia" w:ascii="仿宋_GB2312" w:hAnsi="仿宋_GB2312" w:eastAsia="仿宋_GB2312" w:cs="仿宋_GB2312"/>
                <w:bCs/>
                <w:sz w:val="24"/>
              </w:rPr>
              <w:t>具体以实际测量为准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开门方式</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中分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开门型式</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单通门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9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井道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参数</w:t>
            </w: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井道尺寸(宽×深)</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详见图纸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具体以实际测量为准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顶层净高度</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详见图纸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具体以实际测量为准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提升高度</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详见图纸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具体以实际测量为准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底坑净深度</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详见图纸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具体以实际测量为准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9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p>
        </w:tc>
        <w:tc>
          <w:tcPr>
            <w:tcW w:w="34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井道结构</w:t>
            </w:r>
          </w:p>
        </w:tc>
        <w:tc>
          <w:tcPr>
            <w:tcW w:w="39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contextualSpacing/>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框架砖墙</w:t>
            </w:r>
          </w:p>
        </w:tc>
      </w:tr>
    </w:tbl>
    <w:p>
      <w:pPr>
        <w:keepNext w:val="0"/>
        <w:keepLines w:val="0"/>
        <w:pageBreakBefore w:val="0"/>
        <w:kinsoku/>
        <w:wordWrap/>
        <w:overflowPunct/>
        <w:topLinePunct w:val="0"/>
        <w:bidi w:val="0"/>
        <w:spacing w:line="400" w:lineRule="exact"/>
        <w:ind w:right="0" w:rightChars="0" w:firstLine="481" w:firstLineChars="200"/>
        <w:jc w:val="both"/>
        <w:textAlignment w:val="auto"/>
        <w:rPr>
          <w:rFonts w:hint="eastAsia" w:ascii="仿宋_GB2312" w:hAnsi="仿宋_GB2312" w:eastAsia="仿宋_GB2312" w:cs="仿宋_GB2312"/>
          <w:b/>
          <w:sz w:val="24"/>
          <w:szCs w:val="24"/>
        </w:rPr>
      </w:pPr>
    </w:p>
    <w:p>
      <w:pPr>
        <w:keepNext w:val="0"/>
        <w:keepLines w:val="0"/>
        <w:pageBreakBefore w:val="0"/>
        <w:kinsoku/>
        <w:wordWrap/>
        <w:overflowPunct/>
        <w:topLinePunct w:val="0"/>
        <w:bidi w:val="0"/>
        <w:spacing w:line="400" w:lineRule="exact"/>
        <w:ind w:right="0" w:rightChars="0" w:firstLine="481"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w:t>
      </w:r>
      <w:r>
        <w:rPr>
          <w:rFonts w:hint="eastAsia" w:ascii="仿宋_GB2312" w:hAnsi="仿宋_GB2312" w:eastAsia="仿宋_GB2312" w:cs="仿宋_GB2312"/>
          <w:b/>
          <w:sz w:val="24"/>
          <w:szCs w:val="24"/>
          <w:lang w:val="en-US" w:eastAsia="zh-CN"/>
        </w:rPr>
        <w:t>.</w:t>
      </w:r>
      <w:r>
        <w:rPr>
          <w:rFonts w:hint="eastAsia" w:ascii="仿宋_GB2312" w:hAnsi="仿宋_GB2312" w:eastAsia="仿宋_GB2312" w:cs="仿宋_GB2312"/>
          <w:b/>
          <w:sz w:val="24"/>
          <w:szCs w:val="24"/>
        </w:rPr>
        <w:t>电梯配置要求</w:t>
      </w:r>
    </w:p>
    <w:tbl>
      <w:tblPr>
        <w:tblStyle w:val="5"/>
        <w:tblW w:w="9168"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241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投标设备技术规格</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实际采购需求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曳引机</w:t>
            </w:r>
          </w:p>
        </w:tc>
        <w:tc>
          <w:tcPr>
            <w:tcW w:w="55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无齿轮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电梯控制系统</w:t>
            </w:r>
          </w:p>
        </w:tc>
        <w:tc>
          <w:tcPr>
            <w:tcW w:w="557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全电脑微机控制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门 机</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变频控制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曳引机调速方式</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交流变频调速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控制方式</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全电脑微机集选控制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防夹人保护装置</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安全触板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曳引机的传动方式</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无齿轮永磁同步传动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平层精度</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满足国家标准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噪声指标</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满足国家标准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按钮</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微动按钮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18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w:t>
            </w:r>
          </w:p>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梯</w:t>
            </w:r>
          </w:p>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装</w:t>
            </w:r>
          </w:p>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修</w:t>
            </w:r>
          </w:p>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sz w:val="24"/>
              </w:rPr>
              <w:t>（包工包料，包含购买门套、厅门等所有材料及安装）</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轿门材质</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轿顶、地板材质</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厂家标准型吊顶、PVC地板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轿厢材质</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轿厢操纵盘材质与通讯方式</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轿厢照明</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轿厢显示屏</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门套材质</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每层发纹不锈钢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trPr>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厅门材质</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每层发纹不锈钢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厅外召唤及显示</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118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厅外呼叫面板材质</w:t>
            </w:r>
          </w:p>
        </w:tc>
        <w:tc>
          <w:tcPr>
            <w:tcW w:w="5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标准配置</w:t>
            </w:r>
          </w:p>
        </w:tc>
      </w:tr>
    </w:tbl>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481" w:firstLineChars="200"/>
        <w:jc w:val="both"/>
        <w:textAlignment w:val="auto"/>
        <w:rPr>
          <w:rFonts w:hint="eastAsia" w:ascii="仿宋_GB2312" w:hAnsi="仿宋_GB2312" w:eastAsia="仿宋_GB2312" w:cs="仿宋_GB2312"/>
          <w:b/>
          <w:sz w:val="24"/>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481"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4.电梯配置及功能要求</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4.1工作情况</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(1)投标设备及服务须适应前述“总体要求”所有条款,并运转顺利、正常、可靠。</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(2)可靠性要求：</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要求连续工作每天24小时，全年365天。</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4.2电梯基本功能表：因各制造厂家对电梯基本功能表述不一致，所投品牌电梯需满足以下基本功能。</w:t>
      </w:r>
    </w:p>
    <w:tbl>
      <w:tblPr>
        <w:tblStyle w:val="5"/>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7" w:type="dxa"/>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8076" w:type="dxa"/>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功</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本层同向外呼再开门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集选控制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司机运行控制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满载直驶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超载保护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平层自动开、关门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本层门未开则次楼层停靠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8</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开、关门速度、时间及力矩可调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9</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门锁故障重复关门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防夹人保护功能（安全触板、光幕、光电）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11</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开、关门受阻保护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12</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轿门防扒保护装置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13</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轿门、厅门锁旁路功能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14</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厅门防脱落保护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15</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门锁安全装置的失效检测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16</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防门锁短接保护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17</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防捣乱功能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18</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基站开门等待时间可调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19</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轿厢照明、风扇节能运行自动控制功能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紧急报警和五方通话功能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21</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轿内应急照明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22</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color w:val="auto"/>
                <w:sz w:val="24"/>
              </w:rPr>
              <w:t>再平层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23</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启动力矩补偿功能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24</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故障停梯保护功能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25</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消防返回功能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26</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基站锁梯功能（钥匙开关）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27</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缺相及错相保护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28</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紧急电动运行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29</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轿顶、控制柜检修操作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30</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变频器温控保护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31</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主板温控保护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32</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曳引机空转保护功能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33</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消防信号预留接口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34</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轿厢意外移动保护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35</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制动力矩检测功能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36</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制动器故障保护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37</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接触器触点粘连保护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38</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运行计时计数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39</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即时关门按钮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40</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非门区开门保护功能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41</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错误登记指令消除（双击取消）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42</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外呼楼层及运行方向显示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43</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轿内楼层及运行方向显示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44</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轿内操纵箱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45</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系统故障自诊断显示功能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46</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历史故障保存记录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47</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超速保护功能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48</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lang w:val="zh-CN"/>
              </w:rPr>
            </w:pPr>
            <w:r>
              <w:rPr>
                <w:rFonts w:hint="eastAsia" w:ascii="仿宋_GB2312" w:hAnsi="仿宋_GB2312" w:eastAsia="仿宋_GB2312" w:cs="仿宋_GB2312"/>
                <w:sz w:val="24"/>
              </w:rPr>
              <w:t>端站</w:t>
            </w:r>
            <w:r>
              <w:rPr>
                <w:rFonts w:hint="eastAsia" w:ascii="仿宋_GB2312" w:hAnsi="仿宋_GB2312" w:eastAsia="仿宋_GB2312" w:cs="仿宋_GB2312"/>
                <w:sz w:val="24"/>
                <w:lang w:val="zh-CN"/>
              </w:rPr>
              <w:t>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49</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井道层楼数据自学习功能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50</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层楼位置信号的自动修正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51</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zh-CN"/>
              </w:rPr>
              <w:t>钢丝绳防打滑保护功能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07" w:type="dxa"/>
            <w:vAlign w:val="center"/>
          </w:tcPr>
          <w:p>
            <w:pPr>
              <w:keepNext w:val="0"/>
              <w:keepLines w:val="0"/>
              <w:pageBreakBefore w:val="0"/>
              <w:numPr>
                <w:ilvl w:val="0"/>
                <w:numId w:val="0"/>
              </w:numPr>
              <w:kinsoku/>
              <w:wordWrap/>
              <w:overflowPunct/>
              <w:topLinePunct w:val="0"/>
              <w:bidi w:val="0"/>
              <w:spacing w:line="400" w:lineRule="exact"/>
              <w:ind w:right="0" w:right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52</w:t>
            </w:r>
          </w:p>
        </w:tc>
        <w:tc>
          <w:tcPr>
            <w:tcW w:w="8076" w:type="dxa"/>
          </w:tcPr>
          <w:p>
            <w:pPr>
              <w:keepNext w:val="0"/>
              <w:keepLines w:val="0"/>
              <w:pageBreakBefore w:val="0"/>
              <w:kinsoku/>
              <w:wordWrap/>
              <w:overflowPunct/>
              <w:topLinePunct w:val="0"/>
              <w:bidi w:val="0"/>
              <w:spacing w:line="400" w:lineRule="exact"/>
              <w:ind w:left="0" w:leftChars="0" w:right="0" w:rightChars="0"/>
              <w:jc w:val="both"/>
              <w:textAlignment w:val="auto"/>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物联网端口或装置</w:t>
            </w:r>
          </w:p>
        </w:tc>
      </w:tr>
    </w:tbl>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4.3</w:t>
      </w:r>
      <w:r>
        <w:rPr>
          <w:rFonts w:hint="eastAsia" w:ascii="仿宋_GB2312" w:hAnsi="仿宋_GB2312" w:eastAsia="仿宋_GB2312" w:cs="仿宋_GB2312"/>
          <w:sz w:val="24"/>
        </w:rPr>
        <w:t>选择性功能表</w:t>
      </w:r>
    </w:p>
    <w:tbl>
      <w:tblPr>
        <w:tblStyle w:val="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keepNext w:val="0"/>
              <w:keepLines w:val="0"/>
              <w:pageBreakBefore w:val="0"/>
              <w:kinsoku/>
              <w:wordWrap/>
              <w:overflowPunct/>
              <w:topLinePunct w:val="0"/>
              <w:bidi w:val="0"/>
              <w:spacing w:line="400" w:lineRule="exact"/>
              <w:ind w:right="0" w:rightChars="0"/>
              <w:jc w:val="center"/>
              <w:textAlignment w:val="auto"/>
              <w:rPr>
                <w:rFonts w:hint="default" w:ascii="仿宋_GB2312" w:hAnsi="仿宋_GB2312" w:eastAsia="仿宋_GB2312" w:cs="仿宋_GB2312"/>
                <w:b/>
                <w:bCs/>
                <w:sz w:val="24"/>
                <w:vertAlign w:val="baseline"/>
                <w:lang w:val="en-US" w:eastAsia="zh-CN"/>
              </w:rPr>
            </w:pPr>
            <w:r>
              <w:rPr>
                <w:rFonts w:hint="eastAsia" w:ascii="仿宋_GB2312" w:hAnsi="仿宋_GB2312" w:eastAsia="仿宋_GB2312" w:cs="仿宋_GB2312"/>
                <w:b/>
                <w:bCs/>
                <w:sz w:val="24"/>
                <w:vertAlign w:val="baseline"/>
                <w:lang w:val="en-US" w:eastAsia="zh-CN"/>
              </w:rPr>
              <w:t>序号</w:t>
            </w:r>
          </w:p>
        </w:tc>
        <w:tc>
          <w:tcPr>
            <w:tcW w:w="8071" w:type="dxa"/>
          </w:tcPr>
          <w:p>
            <w:pPr>
              <w:keepNext w:val="0"/>
              <w:keepLines w:val="0"/>
              <w:pageBreakBefore w:val="0"/>
              <w:kinsoku/>
              <w:wordWrap/>
              <w:overflowPunct/>
              <w:topLinePunct w:val="0"/>
              <w:bidi w:val="0"/>
              <w:spacing w:line="400" w:lineRule="exact"/>
              <w:ind w:right="0" w:rightChars="0"/>
              <w:jc w:val="center"/>
              <w:textAlignment w:val="auto"/>
              <w:rPr>
                <w:rFonts w:hint="default" w:ascii="仿宋_GB2312" w:hAnsi="仿宋_GB2312" w:eastAsia="仿宋_GB2312" w:cs="仿宋_GB2312"/>
                <w:b/>
                <w:bCs/>
                <w:sz w:val="24"/>
                <w:vertAlign w:val="baseline"/>
                <w:lang w:val="en-US" w:eastAsia="zh-CN"/>
              </w:rPr>
            </w:pPr>
            <w:r>
              <w:rPr>
                <w:rFonts w:hint="eastAsia" w:ascii="仿宋_GB2312" w:hAnsi="仿宋_GB2312" w:eastAsia="仿宋_GB2312" w:cs="仿宋_GB2312"/>
                <w:b/>
                <w:bCs/>
                <w:sz w:val="24"/>
                <w:vertAlign w:val="baseline"/>
                <w:lang w:val="en-US" w:eastAsia="zh-CN"/>
              </w:rPr>
              <w:t>功                  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1</w:t>
            </w:r>
          </w:p>
        </w:tc>
        <w:tc>
          <w:tcPr>
            <w:tcW w:w="8071" w:type="dxa"/>
            <w:vAlign w:val="top"/>
          </w:tcPr>
          <w:p>
            <w:pPr>
              <w:keepNext w:val="0"/>
              <w:keepLines w:val="0"/>
              <w:pageBreakBefore w:val="0"/>
              <w:kinsoku/>
              <w:wordWrap/>
              <w:overflowPunct/>
              <w:topLinePunct w:val="0"/>
              <w:bidi w:val="0"/>
              <w:spacing w:line="400" w:lineRule="exact"/>
              <w:ind w:left="0" w:leftChars="0" w:right="0" w:rightChars="0"/>
              <w:jc w:val="both"/>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外呼、操纵盘液晶显示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2</w:t>
            </w:r>
          </w:p>
        </w:tc>
        <w:tc>
          <w:tcPr>
            <w:tcW w:w="8071" w:type="dxa"/>
            <w:vAlign w:val="top"/>
          </w:tcPr>
          <w:p>
            <w:pPr>
              <w:keepNext w:val="0"/>
              <w:keepLines w:val="0"/>
              <w:pageBreakBefore w:val="0"/>
              <w:kinsoku/>
              <w:wordWrap/>
              <w:overflowPunct/>
              <w:topLinePunct w:val="0"/>
              <w:bidi w:val="0"/>
              <w:spacing w:line="400" w:lineRule="exact"/>
              <w:ind w:left="0" w:leftChars="0" w:right="0" w:rightChars="0"/>
              <w:jc w:val="both"/>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并联功能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3" w:type="dxa"/>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3</w:t>
            </w:r>
          </w:p>
        </w:tc>
        <w:tc>
          <w:tcPr>
            <w:tcW w:w="8071" w:type="dxa"/>
            <w:vAlign w:val="top"/>
          </w:tcPr>
          <w:p>
            <w:pPr>
              <w:keepNext w:val="0"/>
              <w:keepLines w:val="0"/>
              <w:pageBreakBefore w:val="0"/>
              <w:kinsoku/>
              <w:wordWrap/>
              <w:overflowPunct/>
              <w:topLinePunct w:val="0"/>
              <w:bidi w:val="0"/>
              <w:spacing w:line="400" w:lineRule="exact"/>
              <w:ind w:left="0" w:leftChars="0" w:right="0" w:rightChars="0"/>
              <w:jc w:val="both"/>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停电应急平层装置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4</w:t>
            </w:r>
          </w:p>
        </w:tc>
        <w:tc>
          <w:tcPr>
            <w:tcW w:w="8071" w:type="dxa"/>
            <w:vAlign w:val="top"/>
          </w:tcPr>
          <w:p>
            <w:pPr>
              <w:keepNext w:val="0"/>
              <w:keepLines w:val="0"/>
              <w:pageBreakBefore w:val="0"/>
              <w:kinsoku/>
              <w:wordWrap/>
              <w:overflowPunct/>
              <w:topLinePunct w:val="0"/>
              <w:bidi w:val="0"/>
              <w:spacing w:line="400" w:lineRule="exact"/>
              <w:ind w:left="0" w:leftChars="0" w:right="0" w:rightChars="0"/>
              <w:jc w:val="both"/>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电梯空调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5</w:t>
            </w:r>
          </w:p>
        </w:tc>
        <w:tc>
          <w:tcPr>
            <w:tcW w:w="8071" w:type="dxa"/>
            <w:vAlign w:val="top"/>
          </w:tcPr>
          <w:p>
            <w:pPr>
              <w:keepNext w:val="0"/>
              <w:keepLines w:val="0"/>
              <w:pageBreakBefore w:val="0"/>
              <w:kinsoku/>
              <w:wordWrap/>
              <w:overflowPunct/>
              <w:topLinePunct w:val="0"/>
              <w:bidi w:val="0"/>
              <w:spacing w:line="400" w:lineRule="exact"/>
              <w:ind w:left="0" w:leftChars="0" w:right="0" w:rightChars="0"/>
              <w:jc w:val="both"/>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0"/>
                <w:sz w:val="24"/>
              </w:rPr>
              <w:t>无障碍功能设置、规格、安装位置应符合相关国家标准。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Align w:val="center"/>
          </w:tcPr>
          <w:p>
            <w:pPr>
              <w:keepNext w:val="0"/>
              <w:keepLines w:val="0"/>
              <w:pageBreakBefore w:val="0"/>
              <w:kinsoku/>
              <w:wordWrap/>
              <w:overflowPunct/>
              <w:topLinePunct w:val="0"/>
              <w:bidi w:val="0"/>
              <w:spacing w:line="400" w:lineRule="exact"/>
              <w:ind w:left="0" w:leftChars="0" w:right="0" w:rightChars="0"/>
              <w:jc w:val="center"/>
              <w:textAlignment w:val="auto"/>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6</w:t>
            </w:r>
          </w:p>
        </w:tc>
        <w:tc>
          <w:tcPr>
            <w:tcW w:w="8071" w:type="dxa"/>
            <w:vAlign w:val="top"/>
          </w:tcPr>
          <w:p>
            <w:pPr>
              <w:keepNext w:val="0"/>
              <w:keepLines w:val="0"/>
              <w:pageBreakBefore w:val="0"/>
              <w:kinsoku/>
              <w:wordWrap/>
              <w:overflowPunct/>
              <w:topLinePunct w:val="0"/>
              <w:bidi w:val="0"/>
              <w:spacing w:line="400" w:lineRule="exact"/>
              <w:ind w:left="0" w:leftChars="0" w:right="0" w:rightChars="0"/>
              <w:jc w:val="both"/>
              <w:textAlignment w:val="auto"/>
              <w:rPr>
                <w:rFonts w:hint="default"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rPr>
              <w:t>随行电缆内配高清视频网线</w:t>
            </w:r>
          </w:p>
        </w:tc>
      </w:tr>
    </w:tbl>
    <w:p>
      <w:pPr>
        <w:keepNext w:val="0"/>
        <w:keepLines w:val="0"/>
        <w:pageBreakBefore w:val="0"/>
        <w:kinsoku/>
        <w:wordWrap/>
        <w:overflowPunct/>
        <w:topLinePunct w:val="0"/>
        <w:bidi w:val="0"/>
        <w:spacing w:line="400" w:lineRule="exact"/>
        <w:ind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4.4电梯安全保护装置及配置：必须符合我国GB7588-2003（含1号修改单）标准。</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5.制造：投标人提供的设备备件应按标准制造、并有替换性和精确装配性。特别对于驱动装置（曳引机）、门机等的装配，所有都应在工厂完成或预装配或其尺寸误差达到预装配水平。</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设备性能：投标人提供的电梯设备应在噪音、振动、曳引机的参数、设备可靠性、性能等方面符合国家标准。设备的制造标准、安装标准及技术规范必须符合我国GB7588-2003（含1号修改单）标准及住建部关于批准《电梯 自动扶梯 自动人行道》等14项国家建筑标准设计的通知 建质【2013】74号文件。</w:t>
      </w:r>
    </w:p>
    <w:p>
      <w:pPr>
        <w:keepNext w:val="0"/>
        <w:keepLines w:val="0"/>
        <w:pageBreakBefore w:val="0"/>
        <w:kinsoku/>
        <w:wordWrap/>
        <w:overflowPunct/>
        <w:topLinePunct w:val="0"/>
        <w:bidi w:val="0"/>
        <w:spacing w:line="400" w:lineRule="exact"/>
        <w:ind w:left="0" w:leftChars="0" w:right="0" w:rightChars="0" w:firstLine="481"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三、商务条款</w:t>
      </w:r>
    </w:p>
    <w:p>
      <w:pPr>
        <w:keepNext w:val="0"/>
        <w:keepLines w:val="0"/>
        <w:pageBreakBefore w:val="0"/>
        <w:kinsoku/>
        <w:wordWrap/>
        <w:overflowPunct/>
        <w:topLinePunct w:val="0"/>
        <w:bidi w:val="0"/>
        <w:spacing w:line="400" w:lineRule="exact"/>
        <w:ind w:left="0" w:leftChars="0" w:right="0" w:rightChars="0" w:firstLine="481"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（一）售后服务：</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1.质量保证期：质量保证期自电梯监督检验合格报告出具的时间起算12个月（相关标准大于12个月的，按相关标准执行）；提供承诺函原件加盖公章。</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2.免费维修保养期为12个月，自电梯监督检验合格报告出具的时间起算；提供承诺函原件加盖公章。</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在质量保证期或免费维修保养期内，城区内中标人接到故障通知后30分钟内到现场解决困人问题，并及时排除故障；城区外中标人接到故障通知后1小时内到现场解决困人问题，并及时排除故障。投标人须提供详细的售后服务承诺函及准确有效的服务机构联系方式并加盖公章；</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4.在质量保证期或免费维修保养期内，所有货物保修服务方式均为上门保修，即由中标人派员到用户设备使用现场维修。由此产生的一切费用均由中标人承担；</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5、投标人应在项目实施地的设区市辖区内设立电梯维保工作站或委托项目实施地有资质的单位进行售后服务。</w:t>
      </w:r>
      <w:r>
        <w:rPr>
          <w:rFonts w:hint="eastAsia" w:ascii="仿宋_GB2312" w:hAnsi="仿宋_GB2312" w:eastAsia="仿宋_GB2312" w:cs="仿宋_GB2312"/>
          <w:bCs/>
          <w:sz w:val="24"/>
        </w:rPr>
        <w:t>投标人须提供电</w:t>
      </w:r>
      <w:r>
        <w:rPr>
          <w:rFonts w:hint="eastAsia" w:ascii="仿宋_GB2312" w:hAnsi="仿宋_GB2312" w:eastAsia="仿宋_GB2312" w:cs="仿宋_GB2312"/>
          <w:sz w:val="24"/>
        </w:rPr>
        <w:t>梯维修许可证书复印件（扫描件）或设立电梯维保工作站许可证明文件或委托项目实施地有资质的单位进行售后服务的委托书原件。</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（二）履行地点：采购人指定地点。</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sz w:val="24"/>
        </w:rPr>
        <w:t>（三）履行期限：90天内安装调试验收完成。</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（四）付款方式：采购单位与中标人签订合同后，采购单位向中标人支付合同总金额的30%的排产款；设备主配件全部到货经采购单位验收合格</w:t>
      </w:r>
      <w:r>
        <w:rPr>
          <w:rFonts w:hint="eastAsia" w:ascii="仿宋_GB2312" w:hAnsi="仿宋_GB2312" w:eastAsia="仿宋_GB2312" w:cs="仿宋_GB2312"/>
          <w:sz w:val="24"/>
          <w:lang w:eastAsia="zh-CN"/>
        </w:rPr>
        <w:t>并</w:t>
      </w:r>
      <w:r>
        <w:rPr>
          <w:rFonts w:hint="eastAsia" w:ascii="仿宋_GB2312" w:hAnsi="仿宋_GB2312" w:eastAsia="仿宋_GB2312" w:cs="仿宋_GB2312"/>
          <w:sz w:val="24"/>
        </w:rPr>
        <w:t>安装调试完毕经上饶市特种设备监督检验中心监督检验取得监督检验合格报告后10天内支付合同总金额的</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5%；剩余合同金额的5%作为质保金，待一年质保期满一次性无息付清。</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z w:val="24"/>
        </w:rPr>
        <w:t>（五）履约保证金：履约保证金为中标总金额的10%，中标人在合同签订前应向采购人交纳履约保证金，未交纳履约保证金或履约保证金交纳不足的作弃标处理。履约保证金以银行保函方式（见索即付）或现金转账方式提交。银行保函期限为验收合格后28天内一直有效；现金转账方式提交的履约保证金在验收合格后的28天内无息退还。</w:t>
      </w:r>
    </w:p>
    <w:p>
      <w:pPr>
        <w:keepNext w:val="0"/>
        <w:keepLines w:val="0"/>
        <w:pageBreakBefore w:val="0"/>
        <w:kinsoku/>
        <w:wordWrap/>
        <w:overflowPunct/>
        <w:topLinePunct w:val="0"/>
        <w:bidi w:val="0"/>
        <w:snapToGrid w:val="0"/>
        <w:spacing w:line="400" w:lineRule="exact"/>
        <w:ind w:left="0" w:leftChars="0" w:right="0" w:rightChars="0"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sz w:val="24"/>
        </w:rPr>
        <w:t>六）交货要求：</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提供的全部货物均应按标准保护措施进行包装，这类包装应适应于远距离运输、防潮、防震、防锈和防野蛮装卸，以确保货物安全无损运抵指定现场。由于包装不善所引起的货物锈蚀、损坏和损失均由中标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负责。</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交货时，须提供设备的全部资料，如产品合格证、装箱单、使用说明书、易损件清单、备品备件清单、出厂检验报告、质量保证书、产品现行完好标准、标准操作规程、维护保养规程等等。</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提供的全部货物所有附件必须都配备齐全。</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4.如果中标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没有按照合同规定或采购人同意延长的时间交货，每延期五天，按合同总金额的1%交付违约金（从履约保证金中扣除）；如果中标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违约金达到合同总金额5%后仍不能交付的，采购人可终止合同，因此产生的一切经济损失由中标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 xml:space="preserve">承担；因质量问题延期交付设备时，按延期交付产品处理。 </w:t>
      </w:r>
    </w:p>
    <w:p>
      <w:pPr>
        <w:keepNext w:val="0"/>
        <w:keepLines w:val="0"/>
        <w:pageBreakBefore w:val="0"/>
        <w:kinsoku/>
        <w:wordWrap/>
        <w:overflowPunct/>
        <w:topLinePunct w:val="0"/>
        <w:bidi w:val="0"/>
        <w:snapToGrid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（七）安装、验收:</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在交货及安装截止时间（或采购方规定的时间）内交货、安装，有关运输和保险的一切费用由中标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承担。所有货物运抵现场并安装、调试、验收合格后的日期为交货日期。中标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在经上饶市特种设备监督检验中心监督检验并取得监督检验合格报告前，因保管不当导致货物损毁、丢失等一切损失均由中标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承担。</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2.货物到现场后，由采购人（或其授权代表）和中标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组织相关人员共同对到货货物的数量、外观、包装质量、技术资料等进行检查，双方书面确认后开始安装、调试；</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3.货物安装调试完成以后，由中标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上报至质量技术监督部门对货物进行验收，取得“特种设备监督检验报告”及电梯使用标志（绿标）后即验收合格，所产生的费用由中标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承担。</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4.交付验收标准：依次序对照适用标准为：</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①符合中华人民共和国国家相关行业标准；</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②符合招标文件和投标承诺中采购人认可的合理最佳配置、参数及各项要求；</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上述标准必须是有关官方机构发布的最新版本的标准；</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须为验收提供必需的设备、工具及其他便利条件；</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6.在验收过程中发现数量不足或有质量、技术等问题，中标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应负责按照采购人的要求采取补足、更换或退货等措施妥善处理，并承担由此发生的一切费用和损失。若因采购人或不可抗力原因产生的更换或退货由采购人负责协调处理；</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7.对于不合格的货物，中标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必须在15个工作日里及时完成更换。</w:t>
      </w:r>
    </w:p>
    <w:p>
      <w:pPr>
        <w:keepNext w:val="0"/>
        <w:keepLines w:val="0"/>
        <w:pageBreakBefore w:val="0"/>
        <w:kinsoku/>
        <w:wordWrap/>
        <w:overflowPunct/>
        <w:topLinePunct w:val="0"/>
        <w:bidi w:val="0"/>
        <w:snapToGrid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（八）培训要求: </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1.安装调试完毕后，在用户所在地对操作人员进行免费培训，使其能独立进行常规操作。</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2.内容应涉及产品的操作使用和保养、产品简易的故障判别及排除维修，免收培训费及资料费。</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（九）其它要求:</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应保证采购人在中华人民共和国使用中标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所提供的货物或货物的任何一部分时，免受第三方提出的侵犯其专利权、商标权的起诉；如果任何第三方提出侵权指控，中标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承担一切与之有关的责任。</w:t>
      </w:r>
    </w:p>
    <w:p>
      <w:pPr>
        <w:keepNext w:val="0"/>
        <w:keepLines w:val="0"/>
        <w:pageBreakBefore w:val="0"/>
        <w:kinsoku/>
        <w:wordWrap/>
        <w:overflowPunct/>
        <w:topLinePunct w:val="0"/>
        <w:bidi w:val="0"/>
        <w:spacing w:line="400" w:lineRule="exact"/>
        <w:ind w:left="0" w:leftChars="0" w:right="0" w:rightChars="0" w:firstLine="480" w:firstLineChars="20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在供货及施工期间内，发生的一切安全责任等事故及造成第三者伤害责任的，均由中标</w:t>
      </w:r>
      <w:r>
        <w:rPr>
          <w:rFonts w:hint="eastAsia" w:ascii="仿宋_GB2312" w:hAnsi="仿宋_GB2312" w:eastAsia="仿宋_GB2312" w:cs="仿宋_GB2312"/>
          <w:sz w:val="24"/>
          <w:lang w:eastAsia="zh-CN"/>
        </w:rPr>
        <w:t>供货商</w:t>
      </w:r>
      <w:r>
        <w:rPr>
          <w:rFonts w:hint="eastAsia" w:ascii="仿宋_GB2312" w:hAnsi="仿宋_GB2312" w:eastAsia="仿宋_GB2312" w:cs="仿宋_GB2312"/>
          <w:sz w:val="24"/>
        </w:rPr>
        <w:t>承担。</w:t>
      </w:r>
    </w:p>
    <w:p>
      <w:pPr>
        <w:keepNext w:val="0"/>
        <w:keepLines w:val="0"/>
        <w:pageBreakBefore w:val="0"/>
        <w:kinsoku/>
        <w:wordWrap/>
        <w:overflowPunct/>
        <w:topLinePunct w:val="0"/>
        <w:bidi w:val="0"/>
        <w:spacing w:line="240" w:lineRule="auto"/>
        <w:ind w:right="0" w:rightChars="0"/>
        <w:jc w:val="both"/>
        <w:textAlignment w:val="auto"/>
        <w:rPr>
          <w:rFonts w:hint="default" w:ascii="仿宋_GB2312" w:hAnsi="仿宋_GB2312" w:eastAsia="仿宋_GB2312" w:cs="仿宋_GB2312"/>
          <w:b/>
          <w:bCs/>
          <w:sz w:val="24"/>
          <w:lang w:val="en"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
      </w:rPr>
    </w:pPr>
    <w:r>
      <w:rPr>
        <w:lang w:val="en"/>
      </w:rPr>
      <w:t>附件一：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6C26"/>
    <w:rsid w:val="0031596B"/>
    <w:rsid w:val="00873A60"/>
    <w:rsid w:val="00966C26"/>
    <w:rsid w:val="5767F616"/>
    <w:rsid w:val="5DFF916D"/>
    <w:rsid w:val="63FD1261"/>
    <w:rsid w:val="79B79344"/>
    <w:rsid w:val="7FFB733B"/>
    <w:rsid w:val="9B7F2FF5"/>
    <w:rsid w:val="DFC93A73"/>
    <w:rsid w:val="F6DF3283"/>
    <w:rsid w:val="FED45699"/>
    <w:rsid w:val="FFED0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1060</Characters>
  <Lines>8</Lines>
  <Paragraphs>2</Paragraphs>
  <TotalTime>12</TotalTime>
  <ScaleCrop>false</ScaleCrop>
  <LinksUpToDate>false</LinksUpToDate>
  <CharactersWithSpaces>1243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2021-08-23T14:19:00Z</dcterms:created>
  <dc:creator>PC</dc:creator>
  <cp:lastModifiedBy>test</cp:lastModifiedBy>
  <cp:lastPrinted>2021-08-25T01:05:00Z</cp:lastPrinted>
  <dcterms:modified xsi:type="dcterms:W3CDTF">2021-09-08T10:29:44Z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